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33BB" w:rsidRDefault="002F33BB" w:rsidP="002F33BB">
      <w:pPr>
        <w:pStyle w:val="BodyText"/>
        <w:jc w:val="center"/>
        <w:rPr>
          <w:sz w:val="20"/>
        </w:rPr>
      </w:pPr>
      <w:r>
        <w:rPr>
          <w:noProof/>
          <w:sz w:val="20"/>
        </w:rPr>
        <w:drawing>
          <wp:inline distT="0" distB="0" distL="0" distR="0" wp14:anchorId="01BBCA4B">
            <wp:extent cx="2656114" cy="93385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73326" cy="939908"/>
                    </a:xfrm>
                    <a:prstGeom prst="rect">
                      <a:avLst/>
                    </a:prstGeom>
                    <a:noFill/>
                  </pic:spPr>
                </pic:pic>
              </a:graphicData>
            </a:graphic>
          </wp:inline>
        </w:drawing>
      </w:r>
    </w:p>
    <w:p w:rsidR="00C14782" w:rsidRDefault="00C14782">
      <w:pPr>
        <w:pStyle w:val="BodyText"/>
        <w:spacing w:before="7"/>
        <w:rPr>
          <w:sz w:val="13"/>
        </w:rPr>
      </w:pPr>
    </w:p>
    <w:p w:rsidR="002F33BB" w:rsidRDefault="002F33BB" w:rsidP="002F33BB">
      <w:pPr>
        <w:spacing w:before="83"/>
        <w:ind w:right="20"/>
        <w:jc w:val="center"/>
        <w:rPr>
          <w:sz w:val="36"/>
        </w:rPr>
      </w:pPr>
      <w:r w:rsidRPr="002F33BB">
        <w:rPr>
          <w:sz w:val="36"/>
        </w:rPr>
        <w:t xml:space="preserve">GOSEP: Georeferenced Oregon Soil Engineering Properties </w:t>
      </w:r>
    </w:p>
    <w:p w:rsidR="00C14782" w:rsidRDefault="002F33BB" w:rsidP="002F33BB">
      <w:pPr>
        <w:spacing w:before="83"/>
        <w:ind w:right="20"/>
        <w:jc w:val="center"/>
        <w:rPr>
          <w:sz w:val="40"/>
        </w:rPr>
      </w:pPr>
      <w:r>
        <w:rPr>
          <w:sz w:val="40"/>
        </w:rPr>
        <w:t>USER MANUAL</w:t>
      </w:r>
    </w:p>
    <w:p w:rsidR="00C476D6" w:rsidRDefault="002F33BB" w:rsidP="00C476D6">
      <w:pPr>
        <w:spacing w:before="269"/>
        <w:ind w:right="20"/>
        <w:jc w:val="center"/>
        <w:rPr>
          <w:sz w:val="28"/>
        </w:rPr>
      </w:pPr>
      <w:r>
        <w:rPr>
          <w:sz w:val="28"/>
        </w:rPr>
        <w:t>Release v</w:t>
      </w:r>
      <w:r>
        <w:rPr>
          <w:spacing w:val="-7"/>
          <w:sz w:val="28"/>
        </w:rPr>
        <w:t xml:space="preserve"> </w:t>
      </w:r>
      <w:r w:rsidR="003B7B18">
        <w:rPr>
          <w:sz w:val="28"/>
        </w:rPr>
        <w:t>1.0</w:t>
      </w:r>
    </w:p>
    <w:p w:rsidR="00C14782" w:rsidRPr="00C476D6" w:rsidRDefault="002F33BB" w:rsidP="00C476D6">
      <w:pPr>
        <w:spacing w:before="269"/>
        <w:ind w:right="20"/>
        <w:jc w:val="center"/>
        <w:rPr>
          <w:sz w:val="28"/>
        </w:rPr>
      </w:pPr>
      <w:r>
        <w:rPr>
          <w:sz w:val="28"/>
        </w:rPr>
        <w:t>May 20,</w:t>
      </w:r>
      <w:r>
        <w:rPr>
          <w:spacing w:val="-2"/>
          <w:sz w:val="28"/>
        </w:rPr>
        <w:t xml:space="preserve"> </w:t>
      </w:r>
      <w:r>
        <w:rPr>
          <w:sz w:val="28"/>
        </w:rPr>
        <w:t>2020</w:t>
      </w:r>
    </w:p>
    <w:p w:rsidR="00C14782" w:rsidRDefault="002F33BB">
      <w:pPr>
        <w:pStyle w:val="BodyText"/>
        <w:spacing w:before="8"/>
      </w:pPr>
      <w:r>
        <w:rPr>
          <w:noProof/>
        </w:rPr>
        <w:drawing>
          <wp:anchor distT="0" distB="0" distL="0" distR="0" simplePos="0" relativeHeight="251658240" behindDoc="0" locked="0" layoutInCell="1" allowOverlap="1">
            <wp:simplePos x="0" y="0"/>
            <wp:positionH relativeFrom="page">
              <wp:posOffset>914400</wp:posOffset>
            </wp:positionH>
            <wp:positionV relativeFrom="paragraph">
              <wp:posOffset>190897</wp:posOffset>
            </wp:positionV>
            <wp:extent cx="5979337" cy="3941635"/>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5979337" cy="3941635"/>
                    </a:xfrm>
                    <a:prstGeom prst="rect">
                      <a:avLst/>
                    </a:prstGeom>
                  </pic:spPr>
                </pic:pic>
              </a:graphicData>
            </a:graphic>
          </wp:anchor>
        </w:drawing>
      </w:r>
    </w:p>
    <w:p w:rsidR="00C14782" w:rsidRDefault="002F33BB">
      <w:pPr>
        <w:pStyle w:val="Heading2"/>
        <w:spacing w:before="185"/>
        <w:ind w:left="644"/>
      </w:pPr>
      <w:r>
        <w:t>Funding provided by the Cascadia Lifelines Program (https://cascadia.oregonstate.edu/)</w:t>
      </w:r>
    </w:p>
    <w:p w:rsidR="00C14782" w:rsidRDefault="00C14782">
      <w:pPr>
        <w:pStyle w:val="BodyText"/>
        <w:spacing w:before="1"/>
        <w:rPr>
          <w:b/>
          <w:sz w:val="20"/>
        </w:rPr>
      </w:pPr>
    </w:p>
    <w:p w:rsidR="00C14782" w:rsidRDefault="002F33BB">
      <w:pPr>
        <w:ind w:left="100"/>
        <w:rPr>
          <w:sz w:val="28"/>
        </w:rPr>
      </w:pPr>
      <w:r>
        <w:rPr>
          <w:sz w:val="28"/>
        </w:rPr>
        <w:t>Development Team:</w:t>
      </w:r>
    </w:p>
    <w:p w:rsidR="00C14782" w:rsidRDefault="002F33BB">
      <w:pPr>
        <w:spacing w:before="247"/>
        <w:ind w:left="100"/>
        <w:rPr>
          <w:sz w:val="24"/>
        </w:rPr>
      </w:pPr>
      <w:r w:rsidRPr="002F33BB">
        <w:rPr>
          <w:sz w:val="24"/>
        </w:rPr>
        <w:t xml:space="preserve">Victoria Dutille, </w:t>
      </w:r>
      <w:proofErr w:type="spellStart"/>
      <w:r w:rsidRPr="002F33BB">
        <w:rPr>
          <w:sz w:val="24"/>
        </w:rPr>
        <w:t>Jaehoon</w:t>
      </w:r>
      <w:proofErr w:type="spellEnd"/>
      <w:r>
        <w:rPr>
          <w:sz w:val="24"/>
        </w:rPr>
        <w:t xml:space="preserve"> Jung, Michael J. Olsen, T. Matt Evans</w:t>
      </w:r>
    </w:p>
    <w:p w:rsidR="00C14782" w:rsidRDefault="002F33BB">
      <w:pPr>
        <w:spacing w:before="200"/>
        <w:ind w:left="100"/>
        <w:rPr>
          <w:sz w:val="24"/>
        </w:rPr>
      </w:pPr>
      <w:r>
        <w:rPr>
          <w:sz w:val="24"/>
        </w:rPr>
        <w:t>School of Civil and Construction Engineering, College of Engineering</w:t>
      </w:r>
    </w:p>
    <w:p w:rsidR="00C14782" w:rsidRDefault="00C14782">
      <w:pPr>
        <w:pStyle w:val="BodyText"/>
        <w:rPr>
          <w:sz w:val="17"/>
        </w:rPr>
      </w:pPr>
    </w:p>
    <w:p w:rsidR="00C14782" w:rsidRDefault="00C14782">
      <w:pPr>
        <w:rPr>
          <w:sz w:val="17"/>
        </w:rPr>
      </w:pPr>
    </w:p>
    <w:p w:rsidR="002F33BB" w:rsidRDefault="002F33BB">
      <w:pPr>
        <w:rPr>
          <w:sz w:val="17"/>
        </w:rPr>
        <w:sectPr w:rsidR="002F33BB">
          <w:type w:val="continuous"/>
          <w:pgSz w:w="12240" w:h="15840"/>
          <w:pgMar w:top="1440" w:right="1340" w:bottom="280" w:left="1340" w:header="720" w:footer="720" w:gutter="0"/>
          <w:cols w:space="720"/>
        </w:sectPr>
      </w:pPr>
    </w:p>
    <w:p w:rsidR="00C14782" w:rsidRDefault="002F33BB" w:rsidP="002F33BB">
      <w:pPr>
        <w:spacing w:before="71"/>
        <w:ind w:right="20"/>
        <w:jc w:val="center"/>
        <w:rPr>
          <w:sz w:val="40"/>
        </w:rPr>
      </w:pPr>
      <w:r>
        <w:rPr>
          <w:noProof/>
        </w:rPr>
        <w:lastRenderedPageBreak/>
        <w:drawing>
          <wp:anchor distT="0" distB="0" distL="0" distR="0" simplePos="0" relativeHeight="251659264" behindDoc="0" locked="0" layoutInCell="1" allowOverlap="1">
            <wp:simplePos x="0" y="0"/>
            <wp:positionH relativeFrom="page">
              <wp:posOffset>2609215</wp:posOffset>
            </wp:positionH>
            <wp:positionV relativeFrom="paragraph">
              <wp:posOffset>-645160</wp:posOffset>
            </wp:positionV>
            <wp:extent cx="2551430" cy="851535"/>
            <wp:effectExtent l="0" t="0" r="0" b="0"/>
            <wp:wrapTopAndBottom/>
            <wp:docPr id="5" name="image3.jpeg" descr="Image result for oregon state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2551430" cy="851535"/>
                    </a:xfrm>
                    <a:prstGeom prst="rect">
                      <a:avLst/>
                    </a:prstGeom>
                  </pic:spPr>
                </pic:pic>
              </a:graphicData>
            </a:graphic>
          </wp:anchor>
        </w:drawing>
      </w:r>
      <w:r>
        <w:rPr>
          <w:sz w:val="40"/>
        </w:rPr>
        <w:t>Table of Contents</w:t>
      </w:r>
    </w:p>
    <w:sdt>
      <w:sdtPr>
        <w:id w:val="323488867"/>
        <w:docPartObj>
          <w:docPartGallery w:val="Table of Contents"/>
          <w:docPartUnique/>
        </w:docPartObj>
      </w:sdtPr>
      <w:sdtContent>
        <w:p w:rsidR="00C14782" w:rsidRDefault="002F33BB">
          <w:pPr>
            <w:pStyle w:val="TOC1"/>
            <w:tabs>
              <w:tab w:val="right" w:leader="dot" w:pos="9453"/>
            </w:tabs>
            <w:spacing w:before="656"/>
          </w:pPr>
          <w:hyperlink w:anchor="_bookmark0" w:history="1">
            <w:r>
              <w:t>Introduction</w:t>
            </w:r>
            <w:r>
              <w:tab/>
              <w:t>4</w:t>
            </w:r>
          </w:hyperlink>
        </w:p>
        <w:p w:rsidR="00C14782" w:rsidRDefault="002F33BB">
          <w:pPr>
            <w:pStyle w:val="TOC1"/>
            <w:tabs>
              <w:tab w:val="right" w:leader="dot" w:pos="9453"/>
            </w:tabs>
            <w:spacing w:before="223"/>
          </w:pPr>
          <w:hyperlink w:anchor="_bookmark1" w:history="1">
            <w:r>
              <w:t>Background</w:t>
            </w:r>
            <w:r>
              <w:tab/>
              <w:t>4</w:t>
            </w:r>
          </w:hyperlink>
        </w:p>
        <w:p w:rsidR="00C14782" w:rsidRDefault="002F33BB">
          <w:pPr>
            <w:pStyle w:val="TOC1"/>
            <w:tabs>
              <w:tab w:val="right" w:leader="dot" w:pos="9453"/>
            </w:tabs>
            <w:spacing w:before="227"/>
          </w:pPr>
          <w:hyperlink w:anchor="_bookmark2" w:history="1">
            <w:r>
              <w:t>Intended</w:t>
            </w:r>
            <w:r>
              <w:rPr>
                <w:spacing w:val="1"/>
              </w:rPr>
              <w:t xml:space="preserve"> </w:t>
            </w:r>
            <w:r>
              <w:t>Audience</w:t>
            </w:r>
            <w:r>
              <w:tab/>
              <w:t>4</w:t>
            </w:r>
          </w:hyperlink>
        </w:p>
        <w:p w:rsidR="00C14782" w:rsidRDefault="002F33BB">
          <w:pPr>
            <w:pStyle w:val="TOC2"/>
            <w:tabs>
              <w:tab w:val="right" w:leader="dot" w:pos="9453"/>
            </w:tabs>
            <w:spacing w:before="227"/>
            <w:ind w:left="320" w:firstLine="0"/>
          </w:pPr>
          <w:hyperlink w:anchor="_bookmark3" w:history="1">
            <w:r>
              <w:t>Participants in</w:t>
            </w:r>
            <w:r>
              <w:rPr>
                <w:spacing w:val="-2"/>
              </w:rPr>
              <w:t xml:space="preserve"> </w:t>
            </w:r>
            <w:r>
              <w:t>the</w:t>
            </w:r>
            <w:r>
              <w:rPr>
                <w:spacing w:val="-1"/>
              </w:rPr>
              <w:t xml:space="preserve"> </w:t>
            </w:r>
            <w:r>
              <w:t>Project</w:t>
            </w:r>
            <w:r>
              <w:tab/>
              <w:t>4</w:t>
            </w:r>
          </w:hyperlink>
        </w:p>
        <w:p w:rsidR="00C14782" w:rsidRDefault="002F33BB">
          <w:pPr>
            <w:pStyle w:val="TOC1"/>
            <w:tabs>
              <w:tab w:val="right" w:leader="dot" w:pos="9453"/>
            </w:tabs>
          </w:pPr>
          <w:hyperlink w:anchor="_bookmark4" w:history="1">
            <w:r>
              <w:t>Disclaimer</w:t>
            </w:r>
            <w:r>
              <w:tab/>
              <w:t>5</w:t>
            </w:r>
          </w:hyperlink>
        </w:p>
        <w:p w:rsidR="00C14782" w:rsidRDefault="002F33BB">
          <w:pPr>
            <w:pStyle w:val="TOC1"/>
            <w:tabs>
              <w:tab w:val="right" w:leader="dot" w:pos="9453"/>
            </w:tabs>
            <w:spacing w:before="227"/>
          </w:pPr>
          <w:hyperlink w:anchor="_bookmark5" w:history="1">
            <w:r>
              <w:t>Platform</w:t>
            </w:r>
            <w:r>
              <w:tab/>
              <w:t>5</w:t>
            </w:r>
          </w:hyperlink>
        </w:p>
        <w:p w:rsidR="00C14782" w:rsidRDefault="002F33BB">
          <w:pPr>
            <w:pStyle w:val="TOC1"/>
            <w:tabs>
              <w:tab w:val="right" w:leader="dot" w:pos="9453"/>
            </w:tabs>
            <w:spacing w:before="228"/>
          </w:pPr>
          <w:hyperlink w:anchor="_bookmark6" w:history="1">
            <w:r>
              <w:t>Tool</w:t>
            </w:r>
            <w:r>
              <w:rPr>
                <w:spacing w:val="-6"/>
              </w:rPr>
              <w:t xml:space="preserve"> </w:t>
            </w:r>
            <w:r>
              <w:t>Features</w:t>
            </w:r>
            <w:r>
              <w:tab/>
              <w:t>6</w:t>
            </w:r>
          </w:hyperlink>
        </w:p>
        <w:p w:rsidR="00C14782" w:rsidRDefault="002F33BB">
          <w:pPr>
            <w:pStyle w:val="TOC2"/>
            <w:numPr>
              <w:ilvl w:val="0"/>
              <w:numId w:val="10"/>
            </w:numPr>
            <w:tabs>
              <w:tab w:val="left" w:pos="545"/>
              <w:tab w:val="right" w:leader="dot" w:pos="9453"/>
            </w:tabs>
            <w:spacing w:before="227"/>
            <w:ind w:hanging="225"/>
          </w:pPr>
          <w:hyperlink w:anchor="_bookmark8" w:history="1">
            <w:r>
              <w:t>Overview</w:t>
            </w:r>
            <w:r>
              <w:rPr>
                <w:spacing w:val="-3"/>
              </w:rPr>
              <w:t xml:space="preserve"> </w:t>
            </w:r>
            <w:r>
              <w:t>Map</w:t>
            </w:r>
            <w:r>
              <w:tab/>
              <w:t>6</w:t>
            </w:r>
          </w:hyperlink>
        </w:p>
        <w:p w:rsidR="00C14782" w:rsidRDefault="002F33BB">
          <w:pPr>
            <w:pStyle w:val="TOC2"/>
            <w:numPr>
              <w:ilvl w:val="0"/>
              <w:numId w:val="10"/>
            </w:numPr>
            <w:tabs>
              <w:tab w:val="left" w:pos="545"/>
              <w:tab w:val="right" w:leader="dot" w:pos="9453"/>
            </w:tabs>
            <w:spacing w:before="135"/>
            <w:ind w:hanging="225"/>
          </w:pPr>
          <w:hyperlink w:anchor="_bookmark9" w:history="1">
            <w:r>
              <w:t>Get</w:t>
            </w:r>
            <w:r>
              <w:rPr>
                <w:spacing w:val="-2"/>
              </w:rPr>
              <w:t xml:space="preserve"> </w:t>
            </w:r>
            <w:r>
              <w:t>layer</w:t>
            </w:r>
            <w:r>
              <w:rPr>
                <w:spacing w:val="-1"/>
              </w:rPr>
              <w:t xml:space="preserve"> </w:t>
            </w:r>
            <w:r>
              <w:t>value</w:t>
            </w:r>
            <w:r>
              <w:tab/>
              <w:t>6</w:t>
            </w:r>
          </w:hyperlink>
        </w:p>
        <w:p w:rsidR="00C14782" w:rsidRDefault="002F33BB">
          <w:pPr>
            <w:pStyle w:val="TOC2"/>
            <w:numPr>
              <w:ilvl w:val="0"/>
              <w:numId w:val="10"/>
            </w:numPr>
            <w:tabs>
              <w:tab w:val="left" w:pos="545"/>
              <w:tab w:val="right" w:leader="dot" w:pos="9453"/>
            </w:tabs>
            <w:spacing w:before="139"/>
            <w:ind w:hanging="225"/>
          </w:pPr>
          <w:hyperlink w:anchor="_bookmark10" w:history="1">
            <w:r>
              <w:t>Switch view from 3D</w:t>
            </w:r>
            <w:r>
              <w:rPr>
                <w:spacing w:val="-3"/>
              </w:rPr>
              <w:t xml:space="preserve"> </w:t>
            </w:r>
            <w:r>
              <w:t>to</w:t>
            </w:r>
            <w:r>
              <w:rPr>
                <w:spacing w:val="-2"/>
              </w:rPr>
              <w:t xml:space="preserve"> </w:t>
            </w:r>
            <w:r>
              <w:t>2D</w:t>
            </w:r>
            <w:r>
              <w:tab/>
              <w:t>6</w:t>
            </w:r>
          </w:hyperlink>
        </w:p>
        <w:p w:rsidR="00C14782" w:rsidRDefault="002F33BB">
          <w:pPr>
            <w:pStyle w:val="TOC2"/>
            <w:numPr>
              <w:ilvl w:val="0"/>
              <w:numId w:val="10"/>
            </w:numPr>
            <w:tabs>
              <w:tab w:val="left" w:pos="545"/>
              <w:tab w:val="right" w:leader="dot" w:pos="9453"/>
            </w:tabs>
            <w:spacing w:before="139"/>
            <w:ind w:hanging="225"/>
          </w:pPr>
          <w:hyperlink w:anchor="_bookmark11" w:history="1">
            <w:r>
              <w:t>Navigation</w:t>
            </w:r>
            <w:r>
              <w:rPr>
                <w:spacing w:val="1"/>
              </w:rPr>
              <w:t xml:space="preserve"> </w:t>
            </w:r>
            <w:r>
              <w:t>widgets</w:t>
            </w:r>
            <w:r>
              <w:tab/>
              <w:t>7</w:t>
            </w:r>
          </w:hyperlink>
        </w:p>
        <w:p w:rsidR="00C14782" w:rsidRDefault="002F33BB">
          <w:pPr>
            <w:pStyle w:val="TOC2"/>
            <w:numPr>
              <w:ilvl w:val="0"/>
              <w:numId w:val="10"/>
            </w:numPr>
            <w:tabs>
              <w:tab w:val="left" w:pos="545"/>
              <w:tab w:val="right" w:leader="dot" w:pos="9453"/>
            </w:tabs>
            <w:spacing w:before="288"/>
            <w:ind w:hanging="225"/>
          </w:pPr>
          <w:r>
            <w:pict>
              <v:group id="_x0000_s1098" style="position:absolute;left:0;text-align:left;margin-left:170.25pt;margin-top:7.35pt;width:108.95pt;height:16.4pt;z-index:-252663808;mso-position-horizontal-relative:page" coordorigin="3405,147" coordsize="2179,3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0" type="#_x0000_t75" style="position:absolute;left:3496;top:167;width:2023;height:288">
                  <v:imagedata r:id="rId10" o:title=""/>
                </v:shape>
                <v:rect id="_x0000_s1099" style="position:absolute;left:3415;top:157;width:2159;height:308" filled="f" strokeweight="1pt"/>
                <w10:wrap anchorx="page"/>
              </v:group>
            </w:pict>
          </w:r>
          <w:hyperlink w:anchor="_bookmark12" w:history="1">
            <w:r>
              <w:t>Address</w:t>
            </w:r>
            <w:r>
              <w:rPr>
                <w:spacing w:val="-2"/>
              </w:rPr>
              <w:t xml:space="preserve"> </w:t>
            </w:r>
            <w:r>
              <w:t>Locator</w:t>
            </w:r>
            <w:r>
              <w:tab/>
              <w:t>7</w:t>
            </w:r>
          </w:hyperlink>
        </w:p>
        <w:p w:rsidR="00C14782" w:rsidRDefault="002F33BB">
          <w:pPr>
            <w:pStyle w:val="TOC2"/>
            <w:numPr>
              <w:ilvl w:val="0"/>
              <w:numId w:val="10"/>
            </w:numPr>
            <w:tabs>
              <w:tab w:val="left" w:pos="545"/>
              <w:tab w:val="right" w:leader="dot" w:pos="9453"/>
            </w:tabs>
            <w:ind w:hanging="225"/>
          </w:pPr>
          <w:r>
            <w:pict>
              <v:group id="_x0000_s1095" style="position:absolute;left:0;text-align:left;margin-left:190.2pt;margin-top:7.1pt;width:18pt;height:18pt;z-index:-252662784;mso-position-horizontal-relative:page" coordorigin="3804,142" coordsize="360,360">
                <v:shape id="_x0000_s1097" type="#_x0000_t75" style="position:absolute;left:3804;top:141;width:360;height:360">
                  <v:imagedata r:id="rId11" o:title=""/>
                </v:shape>
                <v:shape id="_x0000_s1096" type="#_x0000_t75" style="position:absolute;left:3856;top:194;width:256;height:256">
                  <v:imagedata r:id="rId12" o:title=""/>
                </v:shape>
                <w10:wrap anchorx="page"/>
              </v:group>
            </w:pict>
          </w:r>
          <w:r>
            <w:pict>
              <v:group id="_x0000_s1092" style="position:absolute;left:0;text-align:left;margin-left:155.1pt;margin-top:34.55pt;width:18pt;height:18pt;z-index:-252661760;mso-position-horizontal-relative:page" coordorigin="3102,691" coordsize="360,360">
                <v:shape id="_x0000_s1094" type="#_x0000_t75" style="position:absolute;left:3102;top:690;width:360;height:360">
                  <v:imagedata r:id="rId13" o:title=""/>
                </v:shape>
                <v:shape id="_x0000_s1093" type="#_x0000_t75" style="position:absolute;left:3154;top:742;width:258;height:256">
                  <v:imagedata r:id="rId12" o:title=""/>
                </v:shape>
                <w10:wrap anchorx="page"/>
              </v:group>
            </w:pict>
          </w:r>
          <w:hyperlink w:anchor="_bookmark14" w:history="1">
            <w:r>
              <w:t>Base</w:t>
            </w:r>
            <w:r>
              <w:rPr>
                <w:spacing w:val="-2"/>
              </w:rPr>
              <w:t xml:space="preserve"> </w:t>
            </w:r>
            <w:r>
              <w:t>Layer</w:t>
            </w:r>
            <w:r>
              <w:rPr>
                <w:spacing w:val="-1"/>
              </w:rPr>
              <w:t xml:space="preserve"> </w:t>
            </w:r>
            <w:r>
              <w:t>Selection</w:t>
            </w:r>
            <w:r>
              <w:tab/>
              <w:t>7</w:t>
            </w:r>
          </w:hyperlink>
        </w:p>
        <w:p w:rsidR="00C14782" w:rsidRDefault="002F33BB">
          <w:pPr>
            <w:pStyle w:val="TOC2"/>
            <w:numPr>
              <w:ilvl w:val="0"/>
              <w:numId w:val="10"/>
            </w:numPr>
            <w:tabs>
              <w:tab w:val="left" w:pos="545"/>
              <w:tab w:val="right" w:leader="dot" w:pos="9453"/>
            </w:tabs>
            <w:ind w:hanging="225"/>
          </w:pPr>
          <w:r>
            <w:pict>
              <v:group id="_x0000_s1089" style="position:absolute;left:0;text-align:left;margin-left:154.5pt;margin-top:34.6pt;width:18pt;height:18pt;z-index:-252660736;mso-position-horizontal-relative:page" coordorigin="3090,692" coordsize="360,360">
                <v:shape id="_x0000_s1091" type="#_x0000_t75" style="position:absolute;left:3089;top:691;width:360;height:360">
                  <v:imagedata r:id="rId14" o:title=""/>
                </v:shape>
                <v:shape id="_x0000_s1090" type="#_x0000_t75" style="position:absolute;left:3144;top:743;width:254;height:255">
                  <v:imagedata r:id="rId15" o:title=""/>
                </v:shape>
                <w10:wrap anchorx="page"/>
              </v:group>
            </w:pict>
          </w:r>
          <w:hyperlink w:anchor="_bookmark15" w:history="1">
            <w:r>
              <w:t>Opacity</w:t>
            </w:r>
            <w:r>
              <w:rPr>
                <w:spacing w:val="-3"/>
              </w:rPr>
              <w:t xml:space="preserve"> </w:t>
            </w:r>
            <w:r>
              <w:t>Tool</w:t>
            </w:r>
            <w:r>
              <w:tab/>
              <w:t>8</w:t>
            </w:r>
          </w:hyperlink>
        </w:p>
        <w:p w:rsidR="00C14782" w:rsidRDefault="002F33BB">
          <w:pPr>
            <w:pStyle w:val="TOC2"/>
            <w:numPr>
              <w:ilvl w:val="0"/>
              <w:numId w:val="10"/>
            </w:numPr>
            <w:tabs>
              <w:tab w:val="left" w:pos="545"/>
              <w:tab w:val="right" w:leader="dot" w:pos="9453"/>
            </w:tabs>
            <w:ind w:hanging="225"/>
          </w:pPr>
          <w:hyperlink w:anchor="_bookmark16" w:history="1">
            <w:r>
              <w:t>Reports</w:t>
            </w:r>
            <w:r>
              <w:rPr>
                <w:spacing w:val="-2"/>
              </w:rPr>
              <w:t xml:space="preserve"> </w:t>
            </w:r>
            <w:r>
              <w:t>Tool</w:t>
            </w:r>
            <w:r>
              <w:tab/>
              <w:t>8</w:t>
            </w:r>
          </w:hyperlink>
        </w:p>
        <w:p w:rsidR="00C14782" w:rsidRDefault="002F33BB">
          <w:pPr>
            <w:pStyle w:val="TOC2"/>
            <w:numPr>
              <w:ilvl w:val="0"/>
              <w:numId w:val="10"/>
            </w:numPr>
            <w:tabs>
              <w:tab w:val="left" w:pos="545"/>
              <w:tab w:val="right" w:leader="dot" w:pos="9459"/>
            </w:tabs>
            <w:spacing w:before="299"/>
            <w:ind w:hanging="225"/>
          </w:pPr>
          <w:r>
            <w:pict>
              <v:group id="_x0000_s1085" style="position:absolute;left:0;text-align:left;margin-left:158.25pt;margin-top:7.2pt;width:20.65pt;height:20.6pt;z-index:-252664832;mso-position-horizontal-relative:page" coordorigin="3165,144" coordsize="413,412">
                <v:line id="_x0000_s1088" style="position:absolute" from="3191,144" to="3191,556" strokeweight="2.6pt"/>
                <v:shape id="_x0000_s1087" type="#_x0000_t75" style="position:absolute;left:3218;top:144;width:360;height:360">
                  <v:imagedata r:id="rId13" o:title=""/>
                </v:shape>
                <v:shape id="_x0000_s1086" type="#_x0000_t75" style="position:absolute;left:3272;top:198;width:256;height:256">
                  <v:imagedata r:id="rId16" o:title=""/>
                </v:shape>
                <w10:wrap anchorx="page"/>
              </v:group>
            </w:pict>
          </w:r>
          <w:hyperlink w:anchor="_bookmark21" w:history="1">
            <w:r>
              <w:t>Measure</w:t>
            </w:r>
            <w:r>
              <w:rPr>
                <w:spacing w:val="2"/>
              </w:rPr>
              <w:t xml:space="preserve"> </w:t>
            </w:r>
            <w:r>
              <w:t>Tool</w:t>
            </w:r>
            <w:r>
              <w:tab/>
              <w:t>12</w:t>
            </w:r>
          </w:hyperlink>
        </w:p>
        <w:p w:rsidR="00C14782" w:rsidRDefault="002F33BB">
          <w:pPr>
            <w:pStyle w:val="TOC2"/>
            <w:numPr>
              <w:ilvl w:val="0"/>
              <w:numId w:val="10"/>
            </w:numPr>
            <w:tabs>
              <w:tab w:val="left" w:pos="652"/>
              <w:tab w:val="right" w:leader="dot" w:pos="9459"/>
            </w:tabs>
            <w:ind w:left="651" w:hanging="332"/>
          </w:pPr>
          <w:r>
            <w:pict>
              <v:group id="_x0000_s1082" style="position:absolute;left:0;text-align:left;margin-left:153.85pt;margin-top:7.05pt;width:18pt;height:18pt;z-index:-252659712;mso-position-horizontal-relative:page" coordorigin="3077,141" coordsize="360,360">
                <v:shape id="_x0000_s1084" type="#_x0000_t75" style="position:absolute;left:3077;top:141;width:360;height:360">
                  <v:imagedata r:id="rId13" o:title=""/>
                </v:shape>
                <v:shape id="_x0000_s1083" type="#_x0000_t75" style="position:absolute;left:3129;top:207;width:255;height:237">
                  <v:imagedata r:id="rId17" o:title=""/>
                </v:shape>
                <w10:wrap anchorx="page"/>
              </v:group>
            </w:pict>
          </w:r>
          <w:hyperlink w:anchor="_bookmark23" w:history="1">
            <w:r>
              <w:t>Eraser</w:t>
            </w:r>
            <w:r>
              <w:rPr>
                <w:spacing w:val="-2"/>
              </w:rPr>
              <w:t xml:space="preserve"> </w:t>
            </w:r>
            <w:r>
              <w:t>Tool</w:t>
            </w:r>
            <w:r>
              <w:tab/>
              <w:t>13</w:t>
            </w:r>
          </w:hyperlink>
        </w:p>
        <w:p w:rsidR="00C14782" w:rsidRDefault="002F33BB">
          <w:pPr>
            <w:pStyle w:val="TOC2"/>
            <w:numPr>
              <w:ilvl w:val="0"/>
              <w:numId w:val="10"/>
            </w:numPr>
            <w:tabs>
              <w:tab w:val="left" w:pos="652"/>
              <w:tab w:val="right" w:leader="dot" w:pos="9459"/>
            </w:tabs>
            <w:spacing w:before="143"/>
            <w:ind w:left="651" w:hanging="332"/>
          </w:pPr>
          <w:hyperlink w:anchor="_bookmark24" w:history="1">
            <w:r>
              <w:t>User</w:t>
            </w:r>
            <w:r>
              <w:rPr>
                <w:spacing w:val="-2"/>
              </w:rPr>
              <w:t xml:space="preserve"> </w:t>
            </w:r>
            <w:r>
              <w:t>Help</w:t>
            </w:r>
            <w:r>
              <w:tab/>
              <w:t>13</w:t>
            </w:r>
          </w:hyperlink>
        </w:p>
        <w:p w:rsidR="00C14782" w:rsidRDefault="002F33BB">
          <w:pPr>
            <w:pStyle w:val="TOC1"/>
            <w:tabs>
              <w:tab w:val="right" w:leader="dot" w:pos="9459"/>
            </w:tabs>
          </w:pPr>
          <w:hyperlink w:anchor="_bookmark25" w:history="1">
            <w:r>
              <w:t>Layer</w:t>
            </w:r>
            <w:r>
              <w:rPr>
                <w:spacing w:val="-2"/>
              </w:rPr>
              <w:t xml:space="preserve"> </w:t>
            </w:r>
            <w:r>
              <w:t>Control</w:t>
            </w:r>
            <w:r>
              <w:rPr>
                <w:spacing w:val="-1"/>
              </w:rPr>
              <w:t xml:space="preserve"> </w:t>
            </w:r>
            <w:r>
              <w:t>Option</w:t>
            </w:r>
            <w:r>
              <w:tab/>
              <w:t>13</w:t>
            </w:r>
          </w:hyperlink>
        </w:p>
      </w:sdtContent>
    </w:sdt>
    <w:p w:rsidR="00C14782" w:rsidRDefault="00C14782">
      <w:pPr>
        <w:pStyle w:val="BodyText"/>
        <w:spacing w:before="7"/>
        <w:rPr>
          <w:b/>
          <w:sz w:val="19"/>
        </w:rPr>
      </w:pPr>
    </w:p>
    <w:p w:rsidR="00C14782" w:rsidRDefault="002F33BB">
      <w:pPr>
        <w:pStyle w:val="BodyText"/>
        <w:spacing w:before="1"/>
        <w:ind w:left="540"/>
      </w:pPr>
      <w:hyperlink w:anchor="_bookmark26" w:history="1">
        <w:r>
          <w:t xml:space="preserve">1. General Site Info Tab ............................................................................................................ </w:t>
        </w:r>
        <w:r>
          <w:rPr>
            <w:spacing w:val="34"/>
          </w:rPr>
          <w:t xml:space="preserve"> </w:t>
        </w:r>
        <w:r>
          <w:t>13</w:t>
        </w:r>
      </w:hyperlink>
      <w:r>
        <w:rPr>
          <w:noProof/>
          <w:spacing w:val="3"/>
        </w:rPr>
        <w:drawing>
          <wp:inline distT="0" distB="0" distL="0" distR="0">
            <wp:extent cx="255905" cy="255143"/>
            <wp:effectExtent l="0" t="0" r="0" b="0"/>
            <wp:docPr id="7" name="image12.png" descr="G:\CODE\O-HELP2\images\Gene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18" cstate="print"/>
                    <a:stretch>
                      <a:fillRect/>
                    </a:stretch>
                  </pic:blipFill>
                  <pic:spPr>
                    <a:xfrm>
                      <a:off x="0" y="0"/>
                      <a:ext cx="255905" cy="255143"/>
                    </a:xfrm>
                    <a:prstGeom prst="rect">
                      <a:avLst/>
                    </a:prstGeom>
                  </pic:spPr>
                </pic:pic>
              </a:graphicData>
            </a:graphic>
          </wp:inline>
        </w:drawing>
      </w:r>
    </w:p>
    <w:p w:rsidR="00C14782" w:rsidRDefault="002F33BB">
      <w:pPr>
        <w:pStyle w:val="BodyText"/>
        <w:spacing w:before="137"/>
        <w:ind w:left="540"/>
      </w:pPr>
      <w:hyperlink w:anchor="_bookmark27" w:history="1">
        <w:r>
          <w:t xml:space="preserve">2. CSZ Hazards </w:t>
        </w:r>
        <w:proofErr w:type="gramStart"/>
        <w:r>
          <w:t xml:space="preserve">Tab </w:t>
        </w:r>
        <w:r>
          <w:rPr>
            <w:spacing w:val="-15"/>
          </w:rPr>
          <w:t xml:space="preserve"> </w:t>
        </w:r>
        <w:r>
          <w:t>..................................................................................................................</w:t>
        </w:r>
        <w:proofErr w:type="gramEnd"/>
        <w:r>
          <w:t xml:space="preserve"> </w:t>
        </w:r>
        <w:r>
          <w:rPr>
            <w:spacing w:val="43"/>
          </w:rPr>
          <w:t xml:space="preserve"> </w:t>
        </w:r>
        <w:r>
          <w:t>16</w:t>
        </w:r>
      </w:hyperlink>
      <w:r>
        <w:rPr>
          <w:noProof/>
          <w:spacing w:val="3"/>
        </w:rPr>
        <w:drawing>
          <wp:inline distT="0" distB="0" distL="0" distR="0">
            <wp:extent cx="235585" cy="235077"/>
            <wp:effectExtent l="0" t="0" r="0" b="0"/>
            <wp:docPr id="9" name="image13.png" descr="G:\CODE\O-HELP2\images\CSZ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png"/>
                    <pic:cNvPicPr/>
                  </pic:nvPicPr>
                  <pic:blipFill>
                    <a:blip r:embed="rId19" cstate="print"/>
                    <a:stretch>
                      <a:fillRect/>
                    </a:stretch>
                  </pic:blipFill>
                  <pic:spPr>
                    <a:xfrm>
                      <a:off x="0" y="0"/>
                      <a:ext cx="235585" cy="235077"/>
                    </a:xfrm>
                    <a:prstGeom prst="rect">
                      <a:avLst/>
                    </a:prstGeom>
                  </pic:spPr>
                </pic:pic>
              </a:graphicData>
            </a:graphic>
          </wp:inline>
        </w:drawing>
      </w:r>
    </w:p>
    <w:p w:rsidR="00C14782" w:rsidRDefault="002F33BB">
      <w:pPr>
        <w:pStyle w:val="BodyText"/>
        <w:spacing w:before="137"/>
        <w:ind w:left="540"/>
      </w:pPr>
      <w:hyperlink w:anchor="_bookmark28" w:history="1">
        <w:r>
          <w:t xml:space="preserve">3. Probabilistic Hazards </w:t>
        </w:r>
        <w:proofErr w:type="gramStart"/>
        <w:r>
          <w:t xml:space="preserve">Tab </w:t>
        </w:r>
        <w:r>
          <w:rPr>
            <w:spacing w:val="-30"/>
          </w:rPr>
          <w:t xml:space="preserve"> </w:t>
        </w:r>
        <w:r>
          <w:t>.....................................................................................................</w:t>
        </w:r>
        <w:proofErr w:type="gramEnd"/>
        <w:r>
          <w:t xml:space="preserve"> </w:t>
        </w:r>
        <w:r>
          <w:rPr>
            <w:spacing w:val="23"/>
          </w:rPr>
          <w:t xml:space="preserve"> </w:t>
        </w:r>
        <w:r>
          <w:t>20</w:t>
        </w:r>
      </w:hyperlink>
      <w:r>
        <w:rPr>
          <w:noProof/>
          <w:spacing w:val="5"/>
        </w:rPr>
        <w:drawing>
          <wp:inline distT="0" distB="0" distL="0" distR="0">
            <wp:extent cx="255905" cy="255778"/>
            <wp:effectExtent l="0" t="0" r="0" b="0"/>
            <wp:docPr id="11" name="image14.png" descr="G:\CODE\O-HELP2\images\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png"/>
                    <pic:cNvPicPr/>
                  </pic:nvPicPr>
                  <pic:blipFill>
                    <a:blip r:embed="rId20" cstate="print"/>
                    <a:stretch>
                      <a:fillRect/>
                    </a:stretch>
                  </pic:blipFill>
                  <pic:spPr>
                    <a:xfrm>
                      <a:off x="0" y="0"/>
                      <a:ext cx="255905" cy="255778"/>
                    </a:xfrm>
                    <a:prstGeom prst="rect">
                      <a:avLst/>
                    </a:prstGeom>
                  </pic:spPr>
                </pic:pic>
              </a:graphicData>
            </a:graphic>
          </wp:inline>
        </w:drawing>
      </w:r>
    </w:p>
    <w:p w:rsidR="00C14782" w:rsidRDefault="002F33BB">
      <w:pPr>
        <w:pStyle w:val="Heading2"/>
        <w:tabs>
          <w:tab w:val="right" w:leader="dot" w:pos="9459"/>
        </w:tabs>
        <w:spacing w:before="140"/>
        <w:ind w:left="100"/>
      </w:pPr>
      <w:hyperlink w:anchor="_bookmark29" w:history="1">
        <w:r>
          <w:t>Mobile</w:t>
        </w:r>
        <w:r>
          <w:rPr>
            <w:spacing w:val="-2"/>
          </w:rPr>
          <w:t xml:space="preserve"> </w:t>
        </w:r>
        <w:r>
          <w:t>Device</w:t>
        </w:r>
        <w:r>
          <w:rPr>
            <w:spacing w:val="3"/>
          </w:rPr>
          <w:t xml:space="preserve"> </w:t>
        </w:r>
        <w:r>
          <w:t>support</w:t>
        </w:r>
        <w:r>
          <w:tab/>
          <w:t>21</w:t>
        </w:r>
      </w:hyperlink>
    </w:p>
    <w:p w:rsidR="00C14782" w:rsidRDefault="002F33BB">
      <w:pPr>
        <w:pStyle w:val="Heading2"/>
        <w:tabs>
          <w:tab w:val="right" w:leader="dot" w:pos="9459"/>
        </w:tabs>
        <w:spacing w:before="227"/>
        <w:ind w:left="100"/>
      </w:pPr>
      <w:hyperlink w:anchor="_bookmark30" w:history="1">
        <w:r>
          <w:t>Future</w:t>
        </w:r>
        <w:r>
          <w:rPr>
            <w:spacing w:val="-1"/>
          </w:rPr>
          <w:t xml:space="preserve"> </w:t>
        </w:r>
        <w:r>
          <w:t>work</w:t>
        </w:r>
        <w:r>
          <w:tab/>
          <w:t>21</w:t>
        </w:r>
      </w:hyperlink>
    </w:p>
    <w:p w:rsidR="00C14782" w:rsidRDefault="00C14782">
      <w:pPr>
        <w:sectPr w:rsidR="00C14782">
          <w:footerReference w:type="default" r:id="rId21"/>
          <w:pgSz w:w="12240" w:h="15840"/>
          <w:pgMar w:top="1360" w:right="1340" w:bottom="1160" w:left="1340" w:header="0" w:footer="973" w:gutter="0"/>
          <w:pgNumType w:start="2"/>
          <w:cols w:space="720"/>
        </w:sectPr>
      </w:pPr>
    </w:p>
    <w:p w:rsidR="00C14782" w:rsidRDefault="002F33BB">
      <w:pPr>
        <w:pStyle w:val="Heading2"/>
        <w:tabs>
          <w:tab w:val="right" w:leader="dot" w:pos="9459"/>
        </w:tabs>
        <w:spacing w:before="79"/>
        <w:ind w:left="100"/>
      </w:pPr>
      <w:hyperlink w:anchor="_bookmark31" w:history="1">
        <w:r>
          <w:t>References</w:t>
        </w:r>
        <w:r>
          <w:tab/>
          <w:t>22</w:t>
        </w:r>
      </w:hyperlink>
    </w:p>
    <w:p w:rsidR="00C14782" w:rsidRDefault="002F33BB">
      <w:pPr>
        <w:pStyle w:val="Heading2"/>
        <w:tabs>
          <w:tab w:val="right" w:leader="dot" w:pos="9459"/>
        </w:tabs>
        <w:spacing w:before="227"/>
        <w:ind w:left="100"/>
      </w:pPr>
      <w:hyperlink w:anchor="_bookmark32" w:history="1">
        <w:r>
          <w:t>Appendix</w:t>
        </w:r>
        <w:r>
          <w:tab/>
          <w:t>23</w:t>
        </w:r>
      </w:hyperlink>
    </w:p>
    <w:p w:rsidR="00C14782" w:rsidRDefault="002F33BB">
      <w:pPr>
        <w:pStyle w:val="BodyText"/>
        <w:tabs>
          <w:tab w:val="right" w:leader="dot" w:pos="9459"/>
        </w:tabs>
        <w:spacing w:before="227"/>
        <w:ind w:left="320"/>
      </w:pPr>
      <w:hyperlink w:anchor="_bookmark33" w:history="1">
        <w:r>
          <w:t>Access to the</w:t>
        </w:r>
        <w:r>
          <w:rPr>
            <w:spacing w:val="-1"/>
          </w:rPr>
          <w:t xml:space="preserve"> </w:t>
        </w:r>
        <w:r>
          <w:t>data</w:t>
        </w:r>
        <w:r>
          <w:tab/>
          <w:t>23</w:t>
        </w:r>
      </w:hyperlink>
    </w:p>
    <w:p w:rsidR="00C14782" w:rsidRDefault="002F33BB">
      <w:pPr>
        <w:pStyle w:val="BodyText"/>
        <w:tabs>
          <w:tab w:val="right" w:leader="dot" w:pos="9459"/>
        </w:tabs>
        <w:spacing w:before="135"/>
        <w:ind w:left="320"/>
      </w:pPr>
      <w:hyperlink w:anchor="_bookmark35" w:history="1">
        <w:r>
          <w:t>Troubleshooting</w:t>
        </w:r>
        <w:r>
          <w:rPr>
            <w:spacing w:val="-3"/>
          </w:rPr>
          <w:t xml:space="preserve"> </w:t>
        </w:r>
        <w:r>
          <w:t>and</w:t>
        </w:r>
        <w:r>
          <w:rPr>
            <w:spacing w:val="2"/>
          </w:rPr>
          <w:t xml:space="preserve"> </w:t>
        </w:r>
        <w:r>
          <w:t>FAQs</w:t>
        </w:r>
        <w:r>
          <w:tab/>
          <w:t>25</w:t>
        </w:r>
      </w:hyperlink>
    </w:p>
    <w:p w:rsidR="00C14782" w:rsidRDefault="00C14782">
      <w:pPr>
        <w:sectPr w:rsidR="00C14782">
          <w:pgSz w:w="12240" w:h="15840"/>
          <w:pgMar w:top="1360" w:right="1340" w:bottom="1160" w:left="1340" w:header="0" w:footer="973" w:gutter="0"/>
          <w:cols w:space="720"/>
        </w:sectPr>
      </w:pPr>
    </w:p>
    <w:p w:rsidR="00C14782" w:rsidRDefault="002F33BB">
      <w:pPr>
        <w:pStyle w:val="Heading1"/>
        <w:spacing w:before="60"/>
      </w:pPr>
      <w:bookmarkStart w:id="0" w:name="_bookmark0"/>
      <w:bookmarkEnd w:id="0"/>
      <w:r>
        <w:lastRenderedPageBreak/>
        <w:t>INTRODUCTION:</w:t>
      </w:r>
    </w:p>
    <w:p w:rsidR="00C14782" w:rsidRDefault="002F33BB">
      <w:pPr>
        <w:pStyle w:val="BodyText"/>
        <w:spacing w:before="39" w:line="276" w:lineRule="auto"/>
        <w:ind w:left="100" w:right="178"/>
      </w:pPr>
      <w:r>
        <w:t xml:space="preserve">This is a user manual for the GOSEP (Georeferenced Oregon Soil Engineering Properties) 3D website, which is a user-friendly, web-based 3D geographic information system (GIS) tool to assess </w:t>
      </w:r>
      <w:r w:rsidR="003B7B18">
        <w:t>Oregon soil engineering properties and geotechnical site investigations</w:t>
      </w:r>
      <w:r>
        <w:t>, developed with support from the Cascadia Lifelines Program (</w:t>
      </w:r>
      <w:proofErr w:type="spellStart"/>
      <w:r>
        <w:t>CLiP</w:t>
      </w:r>
      <w:proofErr w:type="spellEnd"/>
      <w:r>
        <w:t xml:space="preserve">, https://cascadia.oregonstate.edu/). The website contains </w:t>
      </w:r>
      <w:r w:rsidR="003B7B18">
        <w:t xml:space="preserve">previous boreholes, in situ and laboratory tests of Oregon soils in a </w:t>
      </w:r>
      <w:bookmarkStart w:id="1" w:name="_GoBack"/>
      <w:bookmarkEnd w:id="1"/>
      <w:r>
        <w:t>powerful 3D web-based interface, which does not require the user to have extensive knowledge of GIS.</w:t>
      </w:r>
    </w:p>
    <w:p w:rsidR="00C14782" w:rsidRDefault="002F33BB">
      <w:pPr>
        <w:pStyle w:val="Heading1"/>
        <w:spacing w:before="201"/>
      </w:pPr>
      <w:bookmarkStart w:id="2" w:name="_bookmark1"/>
      <w:bookmarkEnd w:id="2"/>
      <w:r>
        <w:t>BACKGROUND:</w:t>
      </w:r>
    </w:p>
    <w:p w:rsidR="00C14782" w:rsidRDefault="002F33BB">
      <w:pPr>
        <w:pStyle w:val="BodyText"/>
        <w:spacing w:before="43" w:line="276" w:lineRule="auto"/>
        <w:ind w:left="100" w:right="126"/>
      </w:pPr>
      <w:r>
        <w:t>Unfortunately, the Cascadia Subduction Zone (CSZ) is capable of generating a M9.0 earthquake that could greatly damage the built environment in Oregon. Such a powerful and long-lasting earthquake can generate severe ground shaking, landslides, liquefaction-induced ground deformations, fault rupture vertical displacement, tsunamis, etc. These seismic deformations will likely be considerably damaging to foundations, bridges, roadways, pipelines, and other lifelines.</w:t>
      </w:r>
    </w:p>
    <w:p w:rsidR="00C14782" w:rsidRDefault="002F33BB">
      <w:pPr>
        <w:pStyle w:val="BodyText"/>
        <w:spacing w:before="198" w:line="276" w:lineRule="auto"/>
        <w:ind w:left="100" w:right="109"/>
      </w:pPr>
      <w:r>
        <w:t xml:space="preserve">Many of Oregon’s lifeline providers, such as public and private entities responsible for transportation, electric and gas utilities, water and wastewater, fuel, airports, and harbors face an aging infrastructure that was built prior to a full understanding of this extreme seismic risk. Generally, available methods to </w:t>
      </w:r>
      <w:r>
        <w:rPr>
          <w:spacing w:val="-2"/>
        </w:rPr>
        <w:t xml:space="preserve">assess </w:t>
      </w:r>
      <w:r>
        <w:t>and mitigate seismic risk to these vital lifelines have been developed for much shorter duration, crustal earthquakes, typical of those experienced in California. However, such methods may not be appropriate for mitigating subduction zone earthquakes, which can last up to three- to five-minutes, as recently experienced in Chile and Japan, and expected in Oregon. As such, the purpose of the O-HELP 3D website is to provide easy access to the latest and best available hazard information over the web, including work completed in the recent Oregon Resilience Plan (ORP) (OSSPAC, 2013) and other work completed by the Department of Geology and Mineral Industries (DOGAMI) and the United States Geological Survey (USGS).</w:t>
      </w:r>
    </w:p>
    <w:p w:rsidR="00C14782" w:rsidRDefault="002F33BB">
      <w:pPr>
        <w:pStyle w:val="Heading1"/>
        <w:spacing w:before="206"/>
      </w:pPr>
      <w:bookmarkStart w:id="3" w:name="_bookmark2"/>
      <w:bookmarkEnd w:id="3"/>
      <w:r>
        <w:t>INTENDED AUDIENCE:</w:t>
      </w:r>
    </w:p>
    <w:p w:rsidR="00C14782" w:rsidRDefault="002F33BB">
      <w:pPr>
        <w:pStyle w:val="BodyText"/>
        <w:spacing w:before="39" w:line="276" w:lineRule="auto"/>
        <w:ind w:left="100" w:right="471"/>
      </w:pPr>
      <w:r>
        <w:t>This tool is designed for engineers, planners, geologists, and others who need this information to help make appropriate decisions. It is assumed that the users have enough knowledge about earthquake engineering and geologic hazards to understand what the data means and how to use it appropriately. Minimal knowledge of GIS will be needed to work with this web-GIS tool.</w:t>
      </w:r>
    </w:p>
    <w:p w:rsidR="00C14782" w:rsidRDefault="002F33BB">
      <w:pPr>
        <w:pStyle w:val="Heading1"/>
        <w:spacing w:before="201"/>
      </w:pPr>
      <w:bookmarkStart w:id="4" w:name="_bookmark3"/>
      <w:bookmarkEnd w:id="4"/>
      <w:r>
        <w:t>Participants in the</w:t>
      </w:r>
      <w:r>
        <w:rPr>
          <w:spacing w:val="-10"/>
        </w:rPr>
        <w:t xml:space="preserve"> </w:t>
      </w:r>
      <w:r>
        <w:t>Project:</w:t>
      </w:r>
    </w:p>
    <w:p w:rsidR="00C14782" w:rsidRDefault="002F33BB">
      <w:pPr>
        <w:pStyle w:val="BodyText"/>
        <w:spacing w:before="39" w:line="276" w:lineRule="auto"/>
        <w:ind w:left="100" w:right="92"/>
      </w:pPr>
      <w:r>
        <w:t xml:space="preserve">Participating organizations in </w:t>
      </w:r>
      <w:proofErr w:type="spellStart"/>
      <w:r>
        <w:t>CLiP</w:t>
      </w:r>
      <w:proofErr w:type="spellEnd"/>
      <w:r>
        <w:t xml:space="preserve"> include: the Oregon Department of Transportation (ODOT), Portland General Electric (PGE), Northwest Natural Gas (NWN), Portland Water Bureau (PWB), Port of Portland (PDX), Eugene Water and Electric Board (EWEB), Bonneville Power Administration (BPA) and Tualatin Valley Water District</w:t>
      </w:r>
      <w:r>
        <w:rPr>
          <w:spacing w:val="-3"/>
        </w:rPr>
        <w:t xml:space="preserve"> </w:t>
      </w:r>
      <w:r>
        <w:t>(TVWD).</w:t>
      </w:r>
    </w:p>
    <w:p w:rsidR="00C14782" w:rsidRDefault="002F33BB">
      <w:pPr>
        <w:pStyle w:val="BodyText"/>
        <w:spacing w:before="201" w:line="276" w:lineRule="auto"/>
        <w:ind w:left="100" w:right="471"/>
      </w:pPr>
      <w:r>
        <w:t xml:space="preserve">The Geomatics research group in the School of Civil and Construction Engineering at Oregon State University manages this website under the direction of </w:t>
      </w:r>
      <w:proofErr w:type="spellStart"/>
      <w:r>
        <w:t>CLiP</w:t>
      </w:r>
      <w:proofErr w:type="spellEnd"/>
      <w:r>
        <w:t>. Specifically the following persons from OSU (unless directed otherwise) have worked directly on this project since its inception:</w:t>
      </w:r>
    </w:p>
    <w:p w:rsidR="00C14782" w:rsidRDefault="002F33BB">
      <w:pPr>
        <w:pStyle w:val="ListParagraph"/>
        <w:numPr>
          <w:ilvl w:val="1"/>
          <w:numId w:val="10"/>
        </w:numPr>
        <w:tabs>
          <w:tab w:val="left" w:pos="820"/>
          <w:tab w:val="left" w:pos="821"/>
        </w:tabs>
        <w:spacing w:before="200"/>
        <w:ind w:hanging="361"/>
      </w:pPr>
      <w:r>
        <w:rPr>
          <w:b/>
        </w:rPr>
        <w:t>Project management</w:t>
      </w:r>
      <w:r>
        <w:t xml:space="preserve">: Michael Olsen, Daniel </w:t>
      </w:r>
      <w:proofErr w:type="spellStart"/>
      <w:r>
        <w:t>Gillins</w:t>
      </w:r>
      <w:proofErr w:type="spellEnd"/>
      <w:r>
        <w:t>, Ben</w:t>
      </w:r>
      <w:r>
        <w:rPr>
          <w:spacing w:val="-5"/>
        </w:rPr>
        <w:t xml:space="preserve"> </w:t>
      </w:r>
      <w:proofErr w:type="spellStart"/>
      <w:r>
        <w:t>Leshchinksy</w:t>
      </w:r>
      <w:proofErr w:type="spellEnd"/>
      <w:r>
        <w:t>.</w:t>
      </w:r>
    </w:p>
    <w:p w:rsidR="00C14782" w:rsidRDefault="002F33BB">
      <w:pPr>
        <w:pStyle w:val="ListParagraph"/>
        <w:numPr>
          <w:ilvl w:val="1"/>
          <w:numId w:val="10"/>
        </w:numPr>
        <w:tabs>
          <w:tab w:val="left" w:pos="820"/>
          <w:tab w:val="left" w:pos="821"/>
        </w:tabs>
        <w:spacing w:before="38"/>
        <w:ind w:hanging="361"/>
      </w:pPr>
      <w:proofErr w:type="spellStart"/>
      <w:r>
        <w:rPr>
          <w:b/>
        </w:rPr>
        <w:t>WebGIS</w:t>
      </w:r>
      <w:proofErr w:type="spellEnd"/>
      <w:r>
        <w:rPr>
          <w:b/>
        </w:rPr>
        <w:t xml:space="preserve"> Version 3.0 </w:t>
      </w:r>
      <w:r>
        <w:t xml:space="preserve">(current) development and maintenance: </w:t>
      </w:r>
      <w:proofErr w:type="spellStart"/>
      <w:r>
        <w:t>Jaehoon</w:t>
      </w:r>
      <w:proofErr w:type="spellEnd"/>
      <w:r>
        <w:t xml:space="preserve"> Jung and Michael</w:t>
      </w:r>
      <w:r>
        <w:rPr>
          <w:spacing w:val="-22"/>
        </w:rPr>
        <w:t xml:space="preserve"> </w:t>
      </w:r>
      <w:r>
        <w:t>Olsen</w:t>
      </w:r>
    </w:p>
    <w:p w:rsidR="00C14782" w:rsidRDefault="00C14782">
      <w:pPr>
        <w:sectPr w:rsidR="00C14782">
          <w:pgSz w:w="12240" w:h="15840"/>
          <w:pgMar w:top="1380" w:right="1340" w:bottom="1160" w:left="1340" w:header="0" w:footer="973" w:gutter="0"/>
          <w:cols w:space="720"/>
        </w:sectPr>
      </w:pPr>
    </w:p>
    <w:p w:rsidR="00C14782" w:rsidRDefault="002F33BB">
      <w:pPr>
        <w:pStyle w:val="ListParagraph"/>
        <w:numPr>
          <w:ilvl w:val="1"/>
          <w:numId w:val="10"/>
        </w:numPr>
        <w:tabs>
          <w:tab w:val="left" w:pos="820"/>
          <w:tab w:val="left" w:pos="821"/>
        </w:tabs>
        <w:spacing w:before="79" w:line="273" w:lineRule="auto"/>
        <w:ind w:right="199"/>
      </w:pPr>
      <w:r>
        <w:rPr>
          <w:b/>
        </w:rPr>
        <w:lastRenderedPageBreak/>
        <w:t xml:space="preserve">Previous </w:t>
      </w:r>
      <w:proofErr w:type="spellStart"/>
      <w:r>
        <w:rPr>
          <w:b/>
        </w:rPr>
        <w:t>WebGIS</w:t>
      </w:r>
      <w:proofErr w:type="spellEnd"/>
      <w:r>
        <w:rPr>
          <w:b/>
        </w:rPr>
        <w:t xml:space="preserve"> </w:t>
      </w:r>
      <w:r>
        <w:t>(versions 1.0 &amp; 2.0) development and maintenance: Rubini Narayanan,</w:t>
      </w:r>
      <w:r>
        <w:rPr>
          <w:spacing w:val="-38"/>
        </w:rPr>
        <w:t xml:space="preserve"> </w:t>
      </w:r>
      <w:r>
        <w:t xml:space="preserve">Farid </w:t>
      </w:r>
      <w:proofErr w:type="spellStart"/>
      <w:r>
        <w:t>Javadnejad</w:t>
      </w:r>
      <w:proofErr w:type="spellEnd"/>
      <w:r>
        <w:t xml:space="preserve">, </w:t>
      </w:r>
      <w:proofErr w:type="spellStart"/>
      <w:r>
        <w:t>Mahyar</w:t>
      </w:r>
      <w:proofErr w:type="spellEnd"/>
      <w:r>
        <w:t xml:space="preserve"> Sharifi-Mood, Daniel </w:t>
      </w:r>
      <w:proofErr w:type="spellStart"/>
      <w:r>
        <w:t>Gillins</w:t>
      </w:r>
      <w:proofErr w:type="spellEnd"/>
      <w:r>
        <w:t>, and Michael</w:t>
      </w:r>
      <w:r>
        <w:rPr>
          <w:spacing w:val="-4"/>
        </w:rPr>
        <w:t xml:space="preserve"> </w:t>
      </w:r>
      <w:r>
        <w:t>Olsen</w:t>
      </w:r>
    </w:p>
    <w:p w:rsidR="00C14782" w:rsidRDefault="002F33BB">
      <w:pPr>
        <w:pStyle w:val="ListParagraph"/>
        <w:numPr>
          <w:ilvl w:val="1"/>
          <w:numId w:val="10"/>
        </w:numPr>
        <w:tabs>
          <w:tab w:val="left" w:pos="820"/>
          <w:tab w:val="left" w:pos="821"/>
        </w:tabs>
        <w:ind w:hanging="361"/>
      </w:pPr>
      <w:r>
        <w:rPr>
          <w:b/>
        </w:rPr>
        <w:t>Server support</w:t>
      </w:r>
      <w:r>
        <w:t>, maintenance, and administration: Paul</w:t>
      </w:r>
      <w:r>
        <w:rPr>
          <w:spacing w:val="-3"/>
        </w:rPr>
        <w:t xml:space="preserve"> </w:t>
      </w:r>
      <w:r>
        <w:t>Montagne</w:t>
      </w:r>
    </w:p>
    <w:p w:rsidR="00C14782" w:rsidRDefault="002F33BB">
      <w:pPr>
        <w:pStyle w:val="Heading2"/>
        <w:numPr>
          <w:ilvl w:val="1"/>
          <w:numId w:val="10"/>
        </w:numPr>
        <w:tabs>
          <w:tab w:val="left" w:pos="820"/>
          <w:tab w:val="left" w:pos="821"/>
        </w:tabs>
        <w:spacing w:before="39"/>
        <w:ind w:hanging="361"/>
        <w:rPr>
          <w:b w:val="0"/>
        </w:rPr>
      </w:pPr>
      <w:r>
        <w:t>Creation of data layers specifically available through</w:t>
      </w:r>
      <w:r>
        <w:rPr>
          <w:spacing w:val="5"/>
        </w:rPr>
        <w:t xml:space="preserve"> </w:t>
      </w:r>
      <w:r>
        <w:t>O-HELP</w:t>
      </w:r>
      <w:r>
        <w:rPr>
          <w:b w:val="0"/>
        </w:rPr>
        <w:t>:</w:t>
      </w:r>
    </w:p>
    <w:p w:rsidR="00C14782" w:rsidRDefault="002F33BB">
      <w:pPr>
        <w:pStyle w:val="ListParagraph"/>
        <w:numPr>
          <w:ilvl w:val="2"/>
          <w:numId w:val="10"/>
        </w:numPr>
        <w:tabs>
          <w:tab w:val="left" w:pos="1540"/>
          <w:tab w:val="left" w:pos="1541"/>
        </w:tabs>
        <w:spacing w:before="38" w:line="256" w:lineRule="auto"/>
        <w:ind w:right="171"/>
      </w:pPr>
      <w:r>
        <w:t xml:space="preserve">The </w:t>
      </w:r>
      <w:r>
        <w:rPr>
          <w:b/>
        </w:rPr>
        <w:t xml:space="preserve">CSZ scenario modeling </w:t>
      </w:r>
      <w:r>
        <w:t xml:space="preserve">were created by </w:t>
      </w:r>
      <w:proofErr w:type="spellStart"/>
      <w:r>
        <w:t>Mahyar</w:t>
      </w:r>
      <w:proofErr w:type="spellEnd"/>
      <w:r>
        <w:t xml:space="preserve"> Sharifi-Mood, Michael Olsen,</w:t>
      </w:r>
      <w:r>
        <w:rPr>
          <w:spacing w:val="-36"/>
        </w:rPr>
        <w:t xml:space="preserve"> </w:t>
      </w:r>
      <w:r>
        <w:t xml:space="preserve">and Daniel </w:t>
      </w:r>
      <w:proofErr w:type="spellStart"/>
      <w:r>
        <w:t>Gillins</w:t>
      </w:r>
      <w:proofErr w:type="spellEnd"/>
      <w:r>
        <w:t xml:space="preserve"> with support by Ian </w:t>
      </w:r>
      <w:proofErr w:type="spellStart"/>
      <w:r>
        <w:t>Madin</w:t>
      </w:r>
      <w:proofErr w:type="spellEnd"/>
      <w:r>
        <w:rPr>
          <w:spacing w:val="-3"/>
        </w:rPr>
        <w:t xml:space="preserve"> </w:t>
      </w:r>
      <w:r>
        <w:t>(DOGAMI)</w:t>
      </w:r>
    </w:p>
    <w:p w:rsidR="00C14782" w:rsidRDefault="002F33BB">
      <w:pPr>
        <w:pStyle w:val="ListParagraph"/>
        <w:numPr>
          <w:ilvl w:val="2"/>
          <w:numId w:val="10"/>
        </w:numPr>
        <w:tabs>
          <w:tab w:val="left" w:pos="1540"/>
          <w:tab w:val="left" w:pos="1541"/>
        </w:tabs>
        <w:spacing w:before="21" w:line="259" w:lineRule="auto"/>
        <w:ind w:right="637"/>
      </w:pPr>
      <w:r>
        <w:rPr>
          <w:b/>
        </w:rPr>
        <w:t>Borehole Database of Oregon (BODO)</w:t>
      </w:r>
      <w:r>
        <w:t xml:space="preserve">: May Shin </w:t>
      </w:r>
      <w:proofErr w:type="spellStart"/>
      <w:r>
        <w:t>Lyan</w:t>
      </w:r>
      <w:proofErr w:type="spellEnd"/>
      <w:r>
        <w:t>, Nicholas Matthews,</w:t>
      </w:r>
      <w:r>
        <w:rPr>
          <w:spacing w:val="-31"/>
        </w:rPr>
        <w:t xml:space="preserve"> </w:t>
      </w:r>
      <w:r>
        <w:t xml:space="preserve">Ben </w:t>
      </w:r>
      <w:proofErr w:type="spellStart"/>
      <w:r>
        <w:t>Leshchinsky</w:t>
      </w:r>
      <w:proofErr w:type="spellEnd"/>
      <w:r>
        <w:t>, and Michael</w:t>
      </w:r>
      <w:r>
        <w:rPr>
          <w:spacing w:val="1"/>
        </w:rPr>
        <w:t xml:space="preserve"> </w:t>
      </w:r>
      <w:r>
        <w:t>Olsen.</w:t>
      </w:r>
    </w:p>
    <w:p w:rsidR="00C14782" w:rsidRDefault="002F33BB">
      <w:pPr>
        <w:pStyle w:val="ListParagraph"/>
        <w:numPr>
          <w:ilvl w:val="2"/>
          <w:numId w:val="10"/>
        </w:numPr>
        <w:tabs>
          <w:tab w:val="left" w:pos="1540"/>
          <w:tab w:val="left" w:pos="1541"/>
        </w:tabs>
        <w:spacing w:before="19" w:line="254" w:lineRule="auto"/>
        <w:ind w:right="515"/>
      </w:pPr>
      <w:r>
        <w:rPr>
          <w:b/>
        </w:rPr>
        <w:t>Bridge damage assessment</w:t>
      </w:r>
      <w:r>
        <w:t>: Pat Burns, Andre Barbosa, Michael Olsen, &amp;</w:t>
      </w:r>
      <w:r>
        <w:rPr>
          <w:spacing w:val="-38"/>
        </w:rPr>
        <w:t xml:space="preserve"> </w:t>
      </w:r>
      <w:proofErr w:type="spellStart"/>
      <w:r>
        <w:t>Haizhong</w:t>
      </w:r>
      <w:proofErr w:type="spellEnd"/>
      <w:r>
        <w:t xml:space="preserve"> Wang.</w:t>
      </w:r>
    </w:p>
    <w:p w:rsidR="00C14782" w:rsidRDefault="002F33BB">
      <w:pPr>
        <w:pStyle w:val="ListParagraph"/>
        <w:numPr>
          <w:ilvl w:val="2"/>
          <w:numId w:val="10"/>
        </w:numPr>
        <w:tabs>
          <w:tab w:val="left" w:pos="1540"/>
          <w:tab w:val="left" w:pos="1541"/>
        </w:tabs>
        <w:spacing w:before="25" w:line="259" w:lineRule="auto"/>
        <w:ind w:right="356"/>
      </w:pPr>
      <w:r>
        <w:rPr>
          <w:b/>
        </w:rPr>
        <w:t>Fully probabilistic landslide mapping</w:t>
      </w:r>
      <w:r>
        <w:t xml:space="preserve">: </w:t>
      </w:r>
      <w:proofErr w:type="spellStart"/>
      <w:r>
        <w:t>Mahyar</w:t>
      </w:r>
      <w:proofErr w:type="spellEnd"/>
      <w:r>
        <w:t xml:space="preserve"> Sharifi-Mood, Michael Olsen,</w:t>
      </w:r>
      <w:r>
        <w:rPr>
          <w:spacing w:val="-38"/>
        </w:rPr>
        <w:t xml:space="preserve"> </w:t>
      </w:r>
      <w:r>
        <w:t xml:space="preserve">Daniel </w:t>
      </w:r>
      <w:proofErr w:type="spellStart"/>
      <w:r>
        <w:t>Gillins</w:t>
      </w:r>
      <w:proofErr w:type="spellEnd"/>
    </w:p>
    <w:p w:rsidR="00C14782" w:rsidRDefault="002F33BB">
      <w:pPr>
        <w:pStyle w:val="ListParagraph"/>
        <w:numPr>
          <w:ilvl w:val="2"/>
          <w:numId w:val="10"/>
        </w:numPr>
        <w:tabs>
          <w:tab w:val="left" w:pos="1540"/>
          <w:tab w:val="left" w:pos="1541"/>
        </w:tabs>
        <w:spacing w:before="19" w:line="254" w:lineRule="auto"/>
        <w:ind w:right="636"/>
      </w:pPr>
      <w:r>
        <w:rPr>
          <w:b/>
        </w:rPr>
        <w:t>Probabilistic landslide susceptibility mapping</w:t>
      </w:r>
      <w:r>
        <w:t>: Danny Hess, Nick Matthews,</w:t>
      </w:r>
      <w:r>
        <w:rPr>
          <w:spacing w:val="-38"/>
        </w:rPr>
        <w:t xml:space="preserve"> </w:t>
      </w:r>
      <w:r>
        <w:t xml:space="preserve">Ben </w:t>
      </w:r>
      <w:proofErr w:type="spellStart"/>
      <w:r>
        <w:t>Leshchinsky</w:t>
      </w:r>
      <w:proofErr w:type="spellEnd"/>
      <w:r>
        <w:t>, &amp; Michael Olsen</w:t>
      </w:r>
    </w:p>
    <w:p w:rsidR="00C14782" w:rsidRDefault="002F33BB">
      <w:pPr>
        <w:pStyle w:val="ListParagraph"/>
        <w:numPr>
          <w:ilvl w:val="2"/>
          <w:numId w:val="10"/>
        </w:numPr>
        <w:tabs>
          <w:tab w:val="left" w:pos="1540"/>
          <w:tab w:val="left" w:pos="1541"/>
        </w:tabs>
        <w:spacing w:before="26"/>
      </w:pPr>
      <w:r>
        <w:rPr>
          <w:b/>
        </w:rPr>
        <w:t>Transportation flow modeling</w:t>
      </w:r>
      <w:r>
        <w:t xml:space="preserve">: </w:t>
      </w:r>
      <w:proofErr w:type="spellStart"/>
      <w:r>
        <w:t>Haizhong</w:t>
      </w:r>
      <w:proofErr w:type="spellEnd"/>
      <w:r>
        <w:rPr>
          <w:spacing w:val="-12"/>
        </w:rPr>
        <w:t xml:space="preserve"> </w:t>
      </w:r>
      <w:r>
        <w:t>Wang</w:t>
      </w:r>
    </w:p>
    <w:p w:rsidR="00C14782" w:rsidRDefault="002F33BB">
      <w:pPr>
        <w:pStyle w:val="BodyText"/>
        <w:spacing w:before="220" w:line="276" w:lineRule="auto"/>
        <w:ind w:left="100" w:right="126"/>
      </w:pPr>
      <w:r>
        <w:t xml:space="preserve">The Department of Oregon Geology and Mineral Industries (DOGAMI) developed and contributed several of the datasets that have been included in the website such as the OLC lidar </w:t>
      </w:r>
      <w:proofErr w:type="spellStart"/>
      <w:r>
        <w:t>hillshade</w:t>
      </w:r>
      <w:proofErr w:type="spellEnd"/>
      <w:r>
        <w:t>, the SLIDO v4 database, and preliminary layers from the Oregon Resilience Plan. They have also contributed ideas to the design of the website. Their important role in hazard mapping is recognized and appreciated.</w:t>
      </w:r>
    </w:p>
    <w:p w:rsidR="00C14782" w:rsidRDefault="002F33BB">
      <w:pPr>
        <w:pStyle w:val="Heading1"/>
        <w:spacing w:before="203"/>
      </w:pPr>
      <w:bookmarkStart w:id="5" w:name="_bookmark4"/>
      <w:bookmarkEnd w:id="5"/>
      <w:r>
        <w:t>DISCLAIMER:</w:t>
      </w:r>
    </w:p>
    <w:p w:rsidR="00C14782" w:rsidRDefault="002F33BB">
      <w:pPr>
        <w:pStyle w:val="BodyText"/>
        <w:spacing w:before="38" w:line="276" w:lineRule="auto"/>
        <w:ind w:left="100" w:right="178"/>
      </w:pPr>
      <w:r>
        <w:t>The Cascadia Lifelines Program (</w:t>
      </w:r>
      <w:proofErr w:type="spellStart"/>
      <w:r>
        <w:t>CLiP</w:t>
      </w:r>
      <w:proofErr w:type="spellEnd"/>
      <w:r>
        <w:t xml:space="preserve">) and the Geomatics research group in School of Civil and Construction Engineering at the Oregon State University works to ensure that the information provided on this website is accurate, timely, and useful. The information provided herein is for reference only and is </w:t>
      </w:r>
      <w:r>
        <w:rPr>
          <w:b/>
        </w:rPr>
        <w:t xml:space="preserve">not suitable </w:t>
      </w:r>
      <w:r>
        <w:t xml:space="preserve">for incorporation in engineering design or site-specific analysis; instead, it provides a starting point to identify and understand hazards of primary concern. For more generalized information regarding earthquake and other types of hazards in Oregon meant for the general public, please visit the web page of Oregon </w:t>
      </w:r>
      <w:proofErr w:type="spellStart"/>
      <w:r>
        <w:t>HazVu</w:t>
      </w:r>
      <w:proofErr w:type="spellEnd"/>
      <w:r>
        <w:t xml:space="preserve">: Statewide Geohazards Viewer at: </w:t>
      </w:r>
      <w:hyperlink r:id="rId22">
        <w:r>
          <w:rPr>
            <w:color w:val="0000FF"/>
            <w:u w:val="single" w:color="0000FF"/>
          </w:rPr>
          <w:t>http://www.oregongeology.org/hazvu/</w:t>
        </w:r>
        <w:r>
          <w:rPr>
            <w:color w:val="0000FF"/>
          </w:rPr>
          <w:t>.</w:t>
        </w:r>
      </w:hyperlink>
    </w:p>
    <w:p w:rsidR="00C14782" w:rsidRDefault="00C14782">
      <w:pPr>
        <w:pStyle w:val="BodyText"/>
        <w:spacing w:before="6"/>
        <w:rPr>
          <w:sz w:val="9"/>
        </w:rPr>
      </w:pPr>
    </w:p>
    <w:p w:rsidR="00C14782" w:rsidRDefault="002F33BB">
      <w:pPr>
        <w:spacing w:before="91" w:line="276" w:lineRule="auto"/>
        <w:ind w:left="100" w:right="178"/>
        <w:rPr>
          <w:b/>
          <w:i/>
        </w:rPr>
      </w:pPr>
      <w:proofErr w:type="spellStart"/>
      <w:r>
        <w:t>CLiP</w:t>
      </w:r>
      <w:proofErr w:type="spellEnd"/>
      <w:r>
        <w:t xml:space="preserve"> and the Geomatics research group are not responsible for errors or omissions in information provided on this website. </w:t>
      </w:r>
      <w:r>
        <w:rPr>
          <w:b/>
          <w:i/>
        </w:rPr>
        <w:t>Any use of this website or the information available at this website is at your own risk and we will not be responsible for the consequences of your decision to utilize the information.</w:t>
      </w:r>
    </w:p>
    <w:p w:rsidR="00C14782" w:rsidRDefault="002F33BB">
      <w:pPr>
        <w:pStyle w:val="BodyText"/>
        <w:spacing w:before="200" w:line="276" w:lineRule="auto"/>
        <w:ind w:left="100" w:right="178"/>
      </w:pPr>
      <w:r>
        <w:t>Visitors are encouraged to confirm the information contained on this website with other reliable sources and agencies. Use and access to this website or any of the links contained within this website do not create an engineering consultant-client relationship. The linked websites are not under Geomatics research group’s control and the research group does not assume any responsibility or liability for any communication or materials available at such linked websites.</w:t>
      </w:r>
    </w:p>
    <w:p w:rsidR="00C14782" w:rsidRDefault="002F33BB">
      <w:pPr>
        <w:pStyle w:val="BodyText"/>
        <w:spacing w:before="202"/>
        <w:ind w:left="100"/>
      </w:pPr>
      <w:r>
        <w:t>Corrections, additions, and updates to this website will be made when necessary or as time permits.</w:t>
      </w:r>
    </w:p>
    <w:p w:rsidR="00C14782" w:rsidRDefault="00C14782">
      <w:pPr>
        <w:pStyle w:val="BodyText"/>
        <w:spacing w:before="11"/>
        <w:rPr>
          <w:sz w:val="20"/>
        </w:rPr>
      </w:pPr>
    </w:p>
    <w:p w:rsidR="00C14782" w:rsidRDefault="002F33BB">
      <w:pPr>
        <w:pStyle w:val="Heading1"/>
      </w:pPr>
      <w:bookmarkStart w:id="6" w:name="_bookmark5"/>
      <w:bookmarkEnd w:id="6"/>
      <w:r>
        <w:t>PLATFORM</w:t>
      </w:r>
    </w:p>
    <w:p w:rsidR="00C14782" w:rsidRDefault="002F33BB">
      <w:pPr>
        <w:pStyle w:val="BodyText"/>
        <w:spacing w:before="38" w:line="276" w:lineRule="auto"/>
        <w:ind w:left="100" w:right="893"/>
      </w:pPr>
      <w:r>
        <w:t xml:space="preserve">The web-GIS framework for O-HELP 3D has been designed in ESRI’s ArcGIS for Server (i.e., </w:t>
      </w:r>
      <w:proofErr w:type="spellStart"/>
      <w:r>
        <w:t>ArcServer</w:t>
      </w:r>
      <w:proofErr w:type="spellEnd"/>
      <w:r>
        <w:t xml:space="preserve">) platform. </w:t>
      </w:r>
      <w:proofErr w:type="spellStart"/>
      <w:r>
        <w:t>ArcServer</w:t>
      </w:r>
      <w:proofErr w:type="spellEnd"/>
      <w:r>
        <w:t xml:space="preserve"> enables the use of several of ESRI’s base layers, including aerial</w:t>
      </w:r>
    </w:p>
    <w:p w:rsidR="00C14782" w:rsidRDefault="00C14782">
      <w:pPr>
        <w:spacing w:line="276" w:lineRule="auto"/>
        <w:sectPr w:rsidR="00C14782">
          <w:pgSz w:w="12240" w:h="15840"/>
          <w:pgMar w:top="1360" w:right="1340" w:bottom="1160" w:left="1340" w:header="0" w:footer="973" w:gutter="0"/>
          <w:cols w:space="720"/>
        </w:sectPr>
      </w:pPr>
    </w:p>
    <w:p w:rsidR="00C14782" w:rsidRDefault="002F33BB">
      <w:pPr>
        <w:pStyle w:val="BodyText"/>
        <w:spacing w:before="79" w:line="276" w:lineRule="auto"/>
        <w:ind w:left="100" w:right="178"/>
      </w:pPr>
      <w:r>
        <w:lastRenderedPageBreak/>
        <w:t xml:space="preserve">imagery, topographic maps, and road networks. While the primary interface is the O-HELP </w:t>
      </w:r>
      <w:proofErr w:type="spellStart"/>
      <w:r>
        <w:t>webGIS</w:t>
      </w:r>
      <w:proofErr w:type="spellEnd"/>
      <w:r>
        <w:t>, the data layers may be streamed directly in GIS software. The Appendix contains instructions on how to access the layers.</w:t>
      </w:r>
    </w:p>
    <w:p w:rsidR="00C14782" w:rsidRDefault="00C14782">
      <w:pPr>
        <w:pStyle w:val="BodyText"/>
        <w:spacing w:before="4"/>
        <w:rPr>
          <w:sz w:val="24"/>
        </w:rPr>
      </w:pPr>
    </w:p>
    <w:p w:rsidR="00C14782" w:rsidRDefault="002F33BB">
      <w:pPr>
        <w:pStyle w:val="Heading1"/>
      </w:pPr>
      <w:bookmarkStart w:id="7" w:name="_bookmark6"/>
      <w:bookmarkEnd w:id="7"/>
      <w:r>
        <w:t>TOOL FEATURES</w:t>
      </w:r>
    </w:p>
    <w:p w:rsidR="00C14782" w:rsidRDefault="002F33BB">
      <w:pPr>
        <w:pStyle w:val="BodyText"/>
        <w:spacing w:before="43" w:line="276" w:lineRule="auto"/>
        <w:ind w:left="100" w:right="692"/>
      </w:pPr>
      <w:r>
        <w:t xml:space="preserve">Several features and tools in O-HELP 3D (numbered in </w:t>
      </w:r>
      <w:hyperlink w:anchor="_bookmark7" w:history="1">
        <w:r>
          <w:t>Figure 1</w:t>
        </w:r>
      </w:hyperlink>
      <w:r>
        <w:t>) are defined individually below. O-HELP can simply be accessed via a web browser. (Although please note that some compatibility versions will occur with different browsers. Chrome is currently the preferred browser).</w:t>
      </w:r>
    </w:p>
    <w:p w:rsidR="00C14782" w:rsidRDefault="002F33BB">
      <w:pPr>
        <w:pStyle w:val="BodyText"/>
        <w:rPr>
          <w:sz w:val="14"/>
        </w:rPr>
      </w:pPr>
      <w:r>
        <w:rPr>
          <w:noProof/>
        </w:rPr>
        <w:drawing>
          <wp:anchor distT="0" distB="0" distL="0" distR="0" simplePos="0" relativeHeight="8" behindDoc="0" locked="0" layoutInCell="1" allowOverlap="1">
            <wp:simplePos x="0" y="0"/>
            <wp:positionH relativeFrom="page">
              <wp:posOffset>1636395</wp:posOffset>
            </wp:positionH>
            <wp:positionV relativeFrom="paragraph">
              <wp:posOffset>127314</wp:posOffset>
            </wp:positionV>
            <wp:extent cx="4500002" cy="2907792"/>
            <wp:effectExtent l="0" t="0" r="0" b="0"/>
            <wp:wrapTopAndBottom/>
            <wp:docPr id="1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png"/>
                    <pic:cNvPicPr/>
                  </pic:nvPicPr>
                  <pic:blipFill>
                    <a:blip r:embed="rId23" cstate="print"/>
                    <a:stretch>
                      <a:fillRect/>
                    </a:stretch>
                  </pic:blipFill>
                  <pic:spPr>
                    <a:xfrm>
                      <a:off x="0" y="0"/>
                      <a:ext cx="4500002" cy="2907792"/>
                    </a:xfrm>
                    <a:prstGeom prst="rect">
                      <a:avLst/>
                    </a:prstGeom>
                  </pic:spPr>
                </pic:pic>
              </a:graphicData>
            </a:graphic>
          </wp:anchor>
        </w:drawing>
      </w:r>
    </w:p>
    <w:p w:rsidR="00C14782" w:rsidRDefault="00C14782">
      <w:pPr>
        <w:pStyle w:val="BodyText"/>
        <w:spacing w:before="1"/>
        <w:rPr>
          <w:sz w:val="19"/>
        </w:rPr>
      </w:pPr>
    </w:p>
    <w:p w:rsidR="00C14782" w:rsidRDefault="002F33BB">
      <w:pPr>
        <w:pStyle w:val="Heading2"/>
        <w:spacing w:before="1"/>
        <w:ind w:left="4382" w:hanging="3934"/>
      </w:pPr>
      <w:bookmarkStart w:id="8" w:name="_bookmark7"/>
      <w:bookmarkEnd w:id="8"/>
      <w:r>
        <w:t>Figure 1. Outline view of the O-HELP 3D website with various feature tools and their screen location.</w:t>
      </w:r>
    </w:p>
    <w:p w:rsidR="00C14782" w:rsidRDefault="00C14782">
      <w:pPr>
        <w:pStyle w:val="BodyText"/>
        <w:rPr>
          <w:b/>
          <w:sz w:val="24"/>
        </w:rPr>
      </w:pPr>
    </w:p>
    <w:p w:rsidR="00C14782" w:rsidRDefault="00C14782">
      <w:pPr>
        <w:pStyle w:val="BodyText"/>
        <w:rPr>
          <w:b/>
          <w:sz w:val="24"/>
        </w:rPr>
      </w:pPr>
    </w:p>
    <w:p w:rsidR="00C14782" w:rsidRDefault="002F33BB">
      <w:pPr>
        <w:pStyle w:val="ListParagraph"/>
        <w:numPr>
          <w:ilvl w:val="0"/>
          <w:numId w:val="9"/>
        </w:numPr>
        <w:tabs>
          <w:tab w:val="left" w:pos="325"/>
        </w:tabs>
        <w:spacing w:before="142"/>
        <w:ind w:hanging="225"/>
        <w:rPr>
          <w:b/>
        </w:rPr>
      </w:pPr>
      <w:bookmarkStart w:id="9" w:name="_bookmark8"/>
      <w:bookmarkEnd w:id="9"/>
      <w:r>
        <w:rPr>
          <w:b/>
        </w:rPr>
        <w:t>Overview</w:t>
      </w:r>
      <w:r>
        <w:rPr>
          <w:b/>
          <w:spacing w:val="-3"/>
        </w:rPr>
        <w:t xml:space="preserve"> </w:t>
      </w:r>
      <w:r>
        <w:rPr>
          <w:b/>
        </w:rPr>
        <w:t>Map</w:t>
      </w:r>
    </w:p>
    <w:p w:rsidR="00C14782" w:rsidRDefault="002F33BB">
      <w:pPr>
        <w:pStyle w:val="BodyText"/>
        <w:spacing w:before="35" w:line="273" w:lineRule="auto"/>
        <w:ind w:left="100" w:right="126"/>
      </w:pPr>
      <w:r>
        <w:t>Located in the lower right corner of the website, an overview map shows the user where the main display is concentrated. It includes an interactive scalebar that provides map scale both in kilometers and miles.</w:t>
      </w:r>
    </w:p>
    <w:p w:rsidR="00C14782" w:rsidRDefault="002F33BB">
      <w:pPr>
        <w:pStyle w:val="Heading2"/>
        <w:numPr>
          <w:ilvl w:val="0"/>
          <w:numId w:val="9"/>
        </w:numPr>
        <w:tabs>
          <w:tab w:val="left" w:pos="325"/>
        </w:tabs>
        <w:spacing w:before="207"/>
        <w:ind w:hanging="225"/>
      </w:pPr>
      <w:bookmarkStart w:id="10" w:name="_bookmark9"/>
      <w:bookmarkEnd w:id="10"/>
      <w:r>
        <w:rPr>
          <w:spacing w:val="-2"/>
        </w:rPr>
        <w:t xml:space="preserve">Get </w:t>
      </w:r>
      <w:r>
        <w:t>layer</w:t>
      </w:r>
      <w:r>
        <w:rPr>
          <w:spacing w:val="4"/>
        </w:rPr>
        <w:t xml:space="preserve"> </w:t>
      </w:r>
      <w:r>
        <w:t>value</w:t>
      </w:r>
    </w:p>
    <w:p w:rsidR="00C14782" w:rsidRDefault="002F33BB">
      <w:pPr>
        <w:pStyle w:val="BodyText"/>
        <w:spacing w:before="36" w:line="276" w:lineRule="auto"/>
        <w:ind w:left="100" w:right="178"/>
      </w:pPr>
      <w:r>
        <w:t>After a layer is selected and displayed on the map (see “Layer Control Option”), the user can click on a desired point on the layer and a pop-up window will appear like the one shown in Figure 1. This will allow the user to view the latitude/longitude, layer value, as well as address of the point. Note that this tool is available only for layers in the raster format.</w:t>
      </w:r>
    </w:p>
    <w:p w:rsidR="00C14782" w:rsidRDefault="002F33BB">
      <w:pPr>
        <w:pStyle w:val="Heading2"/>
        <w:numPr>
          <w:ilvl w:val="0"/>
          <w:numId w:val="9"/>
        </w:numPr>
        <w:tabs>
          <w:tab w:val="left" w:pos="325"/>
        </w:tabs>
        <w:spacing w:before="204"/>
        <w:ind w:hanging="225"/>
      </w:pPr>
      <w:bookmarkStart w:id="11" w:name="_bookmark10"/>
      <w:bookmarkEnd w:id="11"/>
      <w:r>
        <w:t>Switch view from 3D to</w:t>
      </w:r>
      <w:r>
        <w:rPr>
          <w:spacing w:val="-5"/>
        </w:rPr>
        <w:t xml:space="preserve"> </w:t>
      </w:r>
      <w:r>
        <w:t>2D</w:t>
      </w:r>
    </w:p>
    <w:p w:rsidR="00C14782" w:rsidRDefault="002F33BB">
      <w:pPr>
        <w:spacing w:before="34" w:line="271" w:lineRule="auto"/>
        <w:ind w:left="100" w:right="152"/>
      </w:pPr>
      <w:r>
        <w:t xml:space="preserve">Click the 2D button </w:t>
      </w:r>
      <w:r>
        <w:rPr>
          <w:noProof/>
          <w:spacing w:val="-1"/>
          <w:position w:val="1"/>
        </w:rPr>
        <w:drawing>
          <wp:inline distT="0" distB="0" distL="0" distR="0">
            <wp:extent cx="182880" cy="181737"/>
            <wp:effectExtent l="0" t="0" r="0" b="0"/>
            <wp:docPr id="1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png"/>
                    <pic:cNvPicPr/>
                  </pic:nvPicPr>
                  <pic:blipFill>
                    <a:blip r:embed="rId24" cstate="print"/>
                    <a:stretch>
                      <a:fillRect/>
                    </a:stretch>
                  </pic:blipFill>
                  <pic:spPr>
                    <a:xfrm>
                      <a:off x="0" y="0"/>
                      <a:ext cx="182880" cy="181737"/>
                    </a:xfrm>
                    <a:prstGeom prst="rect">
                      <a:avLst/>
                    </a:prstGeom>
                  </pic:spPr>
                </pic:pic>
              </a:graphicData>
            </a:graphic>
          </wp:inline>
        </w:drawing>
      </w:r>
      <w:r>
        <w:rPr>
          <w:spacing w:val="14"/>
        </w:rPr>
        <w:t xml:space="preserve"> </w:t>
      </w:r>
      <w:r>
        <w:t xml:space="preserve">in the top-left corner of the view to switch the view from 3D to </w:t>
      </w:r>
      <w:r>
        <w:rPr>
          <w:spacing w:val="2"/>
        </w:rPr>
        <w:t xml:space="preserve">2D </w:t>
      </w:r>
      <w:r>
        <w:t xml:space="preserve">and vice versa. </w:t>
      </w:r>
      <w:r>
        <w:rPr>
          <w:b/>
        </w:rPr>
        <w:t>Note that the MultiPoint Report tool (see “7. Reports Tool”) is available only in 2D view. The user needs to switch the view from 3D to 2D before using the</w:t>
      </w:r>
      <w:r>
        <w:rPr>
          <w:b/>
          <w:spacing w:val="-7"/>
        </w:rPr>
        <w:t xml:space="preserve"> </w:t>
      </w:r>
      <w:r>
        <w:rPr>
          <w:b/>
        </w:rPr>
        <w:t>tool</w:t>
      </w:r>
      <w:r>
        <w:t>.</w:t>
      </w:r>
    </w:p>
    <w:p w:rsidR="00C14782" w:rsidRDefault="00C14782">
      <w:pPr>
        <w:spacing w:line="271" w:lineRule="auto"/>
        <w:sectPr w:rsidR="00C14782">
          <w:pgSz w:w="12240" w:h="15840"/>
          <w:pgMar w:top="1360" w:right="1340" w:bottom="1160" w:left="1340" w:header="0" w:footer="973" w:gutter="0"/>
          <w:cols w:space="720"/>
        </w:sectPr>
      </w:pPr>
    </w:p>
    <w:p w:rsidR="00C14782" w:rsidRDefault="002F33BB">
      <w:pPr>
        <w:pStyle w:val="Heading2"/>
        <w:numPr>
          <w:ilvl w:val="0"/>
          <w:numId w:val="9"/>
        </w:numPr>
        <w:tabs>
          <w:tab w:val="left" w:pos="325"/>
        </w:tabs>
        <w:spacing w:before="63"/>
        <w:ind w:hanging="225"/>
      </w:pPr>
      <w:r>
        <w:lastRenderedPageBreak/>
        <w:pict>
          <v:group id="_x0000_s1077" style="position:absolute;left:0;text-align:left;margin-left:279.75pt;margin-top:18.8pt;width:32.15pt;height:14.5pt;z-index:-252656640;mso-position-horizontal-relative:page" coordorigin="5595,376" coordsize="643,290">
            <v:shape id="_x0000_s1081" type="#_x0000_t75" style="position:absolute;left:5600;top:381;width:225;height:280">
              <v:imagedata r:id="rId25" o:title=""/>
            </v:shape>
            <v:rect id="_x0000_s1080" style="position:absolute;left:5597;top:378;width:293;height:285" filled="f" strokeweight=".25pt"/>
            <v:shape id="_x0000_s1079" type="#_x0000_t75" style="position:absolute;left:5960;top:381;width:273;height:273">
              <v:imagedata r:id="rId26" o:title=""/>
            </v:shape>
            <v:rect id="_x0000_s1078" style="position:absolute;left:5957;top:378;width:278;height:278" filled="f" strokeweight=".25pt"/>
            <w10:wrap anchorx="page"/>
          </v:group>
        </w:pict>
      </w:r>
      <w:bookmarkStart w:id="12" w:name="_bookmark11"/>
      <w:bookmarkEnd w:id="12"/>
      <w:r>
        <w:t>Navigation</w:t>
      </w:r>
      <w:r>
        <w:rPr>
          <w:spacing w:val="-3"/>
        </w:rPr>
        <w:t xml:space="preserve"> </w:t>
      </w:r>
      <w:r>
        <w:t>widgets</w:t>
      </w:r>
    </w:p>
    <w:p w:rsidR="00C14782" w:rsidRDefault="002F33BB">
      <w:pPr>
        <w:pStyle w:val="BodyText"/>
        <w:tabs>
          <w:tab w:val="left" w:pos="4977"/>
        </w:tabs>
        <w:spacing w:before="159"/>
        <w:ind w:left="100"/>
      </w:pPr>
      <w:r>
        <w:t>The user can zoom in and out with</w:t>
      </w:r>
      <w:r>
        <w:rPr>
          <w:spacing w:val="-17"/>
        </w:rPr>
        <w:t xml:space="preserve"> </w:t>
      </w:r>
      <w:r>
        <w:t>the</w:t>
      </w:r>
      <w:r>
        <w:rPr>
          <w:spacing w:val="-2"/>
        </w:rPr>
        <w:t xml:space="preserve"> </w:t>
      </w:r>
      <w:r>
        <w:t>buttons</w:t>
      </w:r>
      <w:r>
        <w:tab/>
        <w:t>or by using the mouse</w:t>
      </w:r>
      <w:r>
        <w:rPr>
          <w:spacing w:val="-5"/>
        </w:rPr>
        <w:t xml:space="preserve"> </w:t>
      </w:r>
      <w:r>
        <w:t>wheel.</w:t>
      </w:r>
    </w:p>
    <w:p w:rsidR="00C14782" w:rsidRDefault="00C14782">
      <w:pPr>
        <w:pStyle w:val="BodyText"/>
        <w:spacing w:before="8"/>
        <w:rPr>
          <w:sz w:val="23"/>
        </w:rPr>
      </w:pPr>
    </w:p>
    <w:p w:rsidR="00C14782" w:rsidRDefault="002F33BB">
      <w:pPr>
        <w:pStyle w:val="BodyText"/>
        <w:tabs>
          <w:tab w:val="left" w:pos="4261"/>
          <w:tab w:val="left" w:pos="9251"/>
        </w:tabs>
        <w:spacing w:before="90"/>
        <w:ind w:left="100"/>
      </w:pPr>
      <w:r>
        <w:pict>
          <v:group id="_x0000_s1074" style="position:absolute;left:0;text-align:left;margin-left:264.75pt;margin-top:-.5pt;width:14.35pt;height:14.5pt;z-index:-252655616;mso-position-horizontal-relative:page" coordorigin="5295,-10" coordsize="287,290">
            <v:shape id="_x0000_s1076" type="#_x0000_t75" style="position:absolute;left:5300;top:-5;width:277;height:280">
              <v:imagedata r:id="rId27" o:title=""/>
            </v:shape>
            <v:rect id="_x0000_s1075" style="position:absolute;left:5298;top:-8;width:282;height:285" filled="f" strokeweight=".25pt"/>
            <w10:wrap anchorx="page"/>
          </v:group>
        </w:pict>
      </w:r>
      <w:r>
        <w:pict>
          <v:group id="_x0000_s1071" style="position:absolute;left:0;text-align:left;margin-left:514.35pt;margin-top:-.5pt;width:14.35pt;height:14.5pt;z-index:-252654592;mso-position-horizontal-relative:page" coordorigin="10287,-10" coordsize="287,290">
            <v:shape id="_x0000_s1073" type="#_x0000_t75" style="position:absolute;left:10292;top:-5;width:277;height:280">
              <v:imagedata r:id="rId28" o:title=""/>
            </v:shape>
            <v:rect id="_x0000_s1072" style="position:absolute;left:10289;top:-8;width:282;height:285" filled="f" strokeweight=".25pt"/>
            <w10:wrap anchorx="page"/>
          </v:group>
        </w:pict>
      </w:r>
      <w:r>
        <w:t>The default navigation mode is</w:t>
      </w:r>
      <w:r>
        <w:rPr>
          <w:spacing w:val="-13"/>
        </w:rPr>
        <w:t xml:space="preserve"> </w:t>
      </w:r>
      <w:r>
        <w:t>always</w:t>
      </w:r>
      <w:r>
        <w:rPr>
          <w:spacing w:val="-3"/>
        </w:rPr>
        <w:t xml:space="preserve"> </w:t>
      </w:r>
      <w:r>
        <w:t>pan</w:t>
      </w:r>
      <w:r>
        <w:tab/>
        <w:t>. The alternate navigation mode to toggle to</w:t>
      </w:r>
      <w:r>
        <w:rPr>
          <w:spacing w:val="-23"/>
        </w:rPr>
        <w:t xml:space="preserve"> </w:t>
      </w:r>
      <w:r>
        <w:t>is</w:t>
      </w:r>
      <w:r>
        <w:rPr>
          <w:spacing w:val="-4"/>
        </w:rPr>
        <w:t xml:space="preserve"> </w:t>
      </w:r>
      <w:r>
        <w:t>rotate</w:t>
      </w:r>
      <w:r>
        <w:tab/>
        <w:t>.</w:t>
      </w:r>
    </w:p>
    <w:p w:rsidR="00C14782" w:rsidRDefault="002F33BB">
      <w:pPr>
        <w:pStyle w:val="BodyText"/>
        <w:spacing w:before="39" w:line="273" w:lineRule="auto"/>
        <w:ind w:left="100" w:right="471"/>
      </w:pPr>
      <w:r>
        <w:t>This allows the user to rotate the view with a mouse drag and pan the view with a right-click and drag gesture.</w:t>
      </w:r>
    </w:p>
    <w:p w:rsidR="00C14782" w:rsidRDefault="00C14782">
      <w:pPr>
        <w:pStyle w:val="BodyText"/>
        <w:spacing w:before="1"/>
        <w:rPr>
          <w:sz w:val="23"/>
        </w:rPr>
      </w:pPr>
    </w:p>
    <w:p w:rsidR="00C14782" w:rsidRDefault="002F33BB">
      <w:pPr>
        <w:pStyle w:val="BodyText"/>
        <w:tabs>
          <w:tab w:val="left" w:pos="2396"/>
        </w:tabs>
        <w:spacing w:before="91"/>
        <w:ind w:left="100"/>
      </w:pPr>
      <w:r>
        <w:pict>
          <v:group id="_x0000_s1068" style="position:absolute;left:0;text-align:left;margin-left:168.9pt;margin-top:-1.8pt;width:14.45pt;height:15.5pt;z-index:-252653568;mso-position-horizontal-relative:page" coordorigin="3378,-36" coordsize="289,310">
            <v:shape id="_x0000_s1070" type="#_x0000_t75" style="position:absolute;left:3382;top:-31;width:279;height:300">
              <v:imagedata r:id="rId29" o:title=""/>
            </v:shape>
            <v:rect id="_x0000_s1069" style="position:absolute;left:3380;top:-34;width:284;height:305" filled="f" strokeweight=".25pt"/>
            <w10:wrap anchorx="page"/>
          </v:group>
        </w:pict>
      </w:r>
      <w:r>
        <w:t>The</w:t>
      </w:r>
      <w:r>
        <w:rPr>
          <w:spacing w:val="-4"/>
        </w:rPr>
        <w:t xml:space="preserve"> </w:t>
      </w:r>
      <w:r>
        <w:t>Compass</w:t>
      </w:r>
      <w:r>
        <w:rPr>
          <w:spacing w:val="-4"/>
        </w:rPr>
        <w:t xml:space="preserve"> </w:t>
      </w:r>
      <w:r>
        <w:t>widget</w:t>
      </w:r>
      <w:r>
        <w:tab/>
        <w:t>indicates where north is in relation to the current view rotation or</w:t>
      </w:r>
      <w:r>
        <w:rPr>
          <w:spacing w:val="-20"/>
        </w:rPr>
        <w:t xml:space="preserve"> </w:t>
      </w:r>
      <w:r>
        <w:t>camera</w:t>
      </w:r>
    </w:p>
    <w:p w:rsidR="00C14782" w:rsidRDefault="002F33BB">
      <w:pPr>
        <w:pStyle w:val="BodyText"/>
        <w:spacing w:before="39"/>
        <w:ind w:left="100"/>
      </w:pPr>
      <w:r>
        <w:t>heading. Clicking the Compass widget rotates the view to face north (heading = 0).</w:t>
      </w:r>
    </w:p>
    <w:p w:rsidR="00C14782" w:rsidRDefault="00C14782">
      <w:pPr>
        <w:pStyle w:val="BodyText"/>
        <w:spacing w:before="1"/>
        <w:rPr>
          <w:sz w:val="26"/>
        </w:rPr>
      </w:pPr>
    </w:p>
    <w:p w:rsidR="00C14782" w:rsidRDefault="002F33BB">
      <w:pPr>
        <w:pStyle w:val="BodyText"/>
        <w:tabs>
          <w:tab w:val="left" w:pos="2208"/>
        </w:tabs>
        <w:spacing w:before="91"/>
        <w:ind w:left="100"/>
      </w:pPr>
      <w:r>
        <w:pict>
          <v:group id="_x0000_s1065" style="position:absolute;left:0;text-align:left;margin-left:157.85pt;margin-top:-1.75pt;width:15pt;height:15.5pt;z-index:-252652544;mso-position-horizontal-relative:page" coordorigin="3157,-35" coordsize="300,310">
            <v:shape id="_x0000_s1067" type="#_x0000_t75" style="position:absolute;left:3162;top:-31;width:290;height:300">
              <v:imagedata r:id="rId30" o:title=""/>
            </v:shape>
            <v:rect id="_x0000_s1066" style="position:absolute;left:3159;top:-33;width:295;height:305" filled="f" strokeweight=".25pt"/>
            <w10:wrap anchorx="page"/>
          </v:group>
        </w:pict>
      </w:r>
      <w:r>
        <w:t>The</w:t>
      </w:r>
      <w:r>
        <w:rPr>
          <w:spacing w:val="-3"/>
        </w:rPr>
        <w:t xml:space="preserve"> </w:t>
      </w:r>
      <w:r>
        <w:t>Home</w:t>
      </w:r>
      <w:r>
        <w:rPr>
          <w:spacing w:val="-2"/>
        </w:rPr>
        <w:t xml:space="preserve"> </w:t>
      </w:r>
      <w:r>
        <w:t>Widget</w:t>
      </w:r>
      <w:r>
        <w:tab/>
        <w:t>Quickly return to the map's default starting viewpoint using the Home</w:t>
      </w:r>
      <w:r>
        <w:rPr>
          <w:spacing w:val="-25"/>
        </w:rPr>
        <w:t xml:space="preserve"> </w:t>
      </w:r>
      <w:r>
        <w:t>button</w:t>
      </w:r>
    </w:p>
    <w:p w:rsidR="00C14782" w:rsidRDefault="002F33BB">
      <w:pPr>
        <w:pStyle w:val="BodyText"/>
        <w:spacing w:before="39"/>
        <w:ind w:left="100"/>
      </w:pPr>
      <w:proofErr w:type="spellStart"/>
      <w:r>
        <w:t>widget.The</w:t>
      </w:r>
      <w:proofErr w:type="spellEnd"/>
      <w:r>
        <w:t xml:space="preserve"> initial default view is the entire State of Oregon.</w:t>
      </w:r>
    </w:p>
    <w:p w:rsidR="00C14782" w:rsidRDefault="00C14782">
      <w:pPr>
        <w:pStyle w:val="BodyText"/>
        <w:spacing w:before="4"/>
        <w:rPr>
          <w:sz w:val="34"/>
        </w:rPr>
      </w:pPr>
    </w:p>
    <w:p w:rsidR="00C14782" w:rsidRDefault="002F33BB">
      <w:pPr>
        <w:pStyle w:val="Heading2"/>
        <w:numPr>
          <w:ilvl w:val="0"/>
          <w:numId w:val="9"/>
        </w:numPr>
        <w:tabs>
          <w:tab w:val="left" w:pos="325"/>
        </w:tabs>
        <w:ind w:hanging="225"/>
      </w:pPr>
      <w:r>
        <w:pict>
          <v:group id="_x0000_s1062" style="position:absolute;left:0;text-align:left;margin-left:164.75pt;margin-top:-7.25pt;width:108.95pt;height:16.4pt;z-index:251673600;mso-position-horizontal-relative:page" coordorigin="3295,-145" coordsize="2179,328">
            <v:shape id="_x0000_s1064" type="#_x0000_t75" style="position:absolute;left:3387;top:-126;width:2023;height:288">
              <v:imagedata r:id="rId10" o:title=""/>
            </v:shape>
            <v:rect id="_x0000_s1063" style="position:absolute;left:3305;top:-136;width:2159;height:308" filled="f" strokeweight="1pt"/>
            <w10:wrap anchorx="page"/>
          </v:group>
        </w:pict>
      </w:r>
      <w:bookmarkStart w:id="13" w:name="_bookmark12"/>
      <w:bookmarkEnd w:id="13"/>
      <w:r>
        <w:t>Address</w:t>
      </w:r>
      <w:r>
        <w:rPr>
          <w:spacing w:val="-1"/>
        </w:rPr>
        <w:t xml:space="preserve"> </w:t>
      </w:r>
      <w:r>
        <w:t>Locator</w:t>
      </w:r>
    </w:p>
    <w:p w:rsidR="00C14782" w:rsidRDefault="002F33BB">
      <w:pPr>
        <w:pStyle w:val="BodyText"/>
        <w:spacing w:before="39" w:line="276" w:lineRule="auto"/>
        <w:ind w:left="100" w:right="202"/>
      </w:pPr>
      <w:r>
        <w:t>This tool enables the user to search for a specific location by entering either geographic coordinates in longitude, latitude format, or by entering the address for a location of interest. Once the user inputs the search information, the locator will show the place by dropping a black point on the map. A window will then pop up in the map with the latitude and longitude information for that site (see Figure 2). Within the same pop-up window, there is a link that can be selected for generating a report for that location. Similar report can be generated using single point report (See “Single Point Report” in section “7. Report Tools” for more details).</w:t>
      </w:r>
    </w:p>
    <w:p w:rsidR="00C14782" w:rsidRDefault="002F33BB">
      <w:pPr>
        <w:pStyle w:val="BodyText"/>
        <w:rPr>
          <w:sz w:val="14"/>
        </w:rPr>
      </w:pPr>
      <w:r>
        <w:rPr>
          <w:noProof/>
        </w:rPr>
        <w:drawing>
          <wp:anchor distT="0" distB="0" distL="0" distR="0" simplePos="0" relativeHeight="9" behindDoc="0" locked="0" layoutInCell="1" allowOverlap="1">
            <wp:simplePos x="0" y="0"/>
            <wp:positionH relativeFrom="page">
              <wp:posOffset>1978405</wp:posOffset>
            </wp:positionH>
            <wp:positionV relativeFrom="paragraph">
              <wp:posOffset>127004</wp:posOffset>
            </wp:positionV>
            <wp:extent cx="3814237" cy="2572702"/>
            <wp:effectExtent l="0" t="0" r="0" b="0"/>
            <wp:wrapTopAndBottom/>
            <wp:docPr id="1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3.jpeg"/>
                    <pic:cNvPicPr/>
                  </pic:nvPicPr>
                  <pic:blipFill>
                    <a:blip r:embed="rId31" cstate="print"/>
                    <a:stretch>
                      <a:fillRect/>
                    </a:stretch>
                  </pic:blipFill>
                  <pic:spPr>
                    <a:xfrm>
                      <a:off x="0" y="0"/>
                      <a:ext cx="3814237" cy="2572702"/>
                    </a:xfrm>
                    <a:prstGeom prst="rect">
                      <a:avLst/>
                    </a:prstGeom>
                  </pic:spPr>
                </pic:pic>
              </a:graphicData>
            </a:graphic>
          </wp:anchor>
        </w:drawing>
      </w:r>
    </w:p>
    <w:p w:rsidR="00C14782" w:rsidRDefault="002F33BB">
      <w:pPr>
        <w:pStyle w:val="Heading2"/>
        <w:spacing w:before="213"/>
        <w:ind w:left="3229" w:hanging="2805"/>
      </w:pPr>
      <w:bookmarkStart w:id="14" w:name="_bookmark13"/>
      <w:bookmarkEnd w:id="14"/>
      <w:r>
        <w:t>Figure 2: Pop up window representing spatial information of the selected address or latitude, longitude on the interactive map.</w:t>
      </w:r>
    </w:p>
    <w:p w:rsidR="00C14782" w:rsidRDefault="00C14782">
      <w:pPr>
        <w:pStyle w:val="BodyText"/>
        <w:spacing w:before="9"/>
        <w:rPr>
          <w:b/>
          <w:sz w:val="30"/>
        </w:rPr>
      </w:pPr>
    </w:p>
    <w:p w:rsidR="00C14782" w:rsidRDefault="002F33BB">
      <w:pPr>
        <w:pStyle w:val="ListParagraph"/>
        <w:numPr>
          <w:ilvl w:val="0"/>
          <w:numId w:val="9"/>
        </w:numPr>
        <w:tabs>
          <w:tab w:val="left" w:pos="321"/>
        </w:tabs>
        <w:ind w:left="320" w:hanging="221"/>
        <w:rPr>
          <w:b/>
        </w:rPr>
      </w:pPr>
      <w:r>
        <w:pict>
          <v:group id="_x0000_s1059" style="position:absolute;left:0;text-align:left;margin-left:183.5pt;margin-top:-7.85pt;width:18pt;height:18pt;z-index:251674624;mso-position-horizontal-relative:page" coordorigin="3670,-157" coordsize="360,360">
            <v:shape id="_x0000_s1061" type="#_x0000_t75" style="position:absolute;left:3670;top:-157;width:360;height:360">
              <v:imagedata r:id="rId32" o:title=""/>
            </v:shape>
            <v:shape id="_x0000_s1060" type="#_x0000_t75" style="position:absolute;left:3724;top:-105;width:256;height:255">
              <v:imagedata r:id="rId12" o:title=""/>
            </v:shape>
            <w10:wrap anchorx="page"/>
          </v:group>
        </w:pict>
      </w:r>
      <w:bookmarkStart w:id="15" w:name="_bookmark14"/>
      <w:bookmarkEnd w:id="15"/>
      <w:r>
        <w:rPr>
          <w:b/>
        </w:rPr>
        <w:t>Base Layer</w:t>
      </w:r>
      <w:r>
        <w:rPr>
          <w:b/>
          <w:spacing w:val="-3"/>
        </w:rPr>
        <w:t xml:space="preserve"> </w:t>
      </w:r>
      <w:r>
        <w:rPr>
          <w:b/>
        </w:rPr>
        <w:t>Selection</w:t>
      </w:r>
    </w:p>
    <w:p w:rsidR="00C14782" w:rsidRDefault="002F33BB">
      <w:pPr>
        <w:pStyle w:val="BodyText"/>
        <w:spacing w:before="40" w:line="276" w:lineRule="auto"/>
        <w:ind w:left="100" w:right="65"/>
      </w:pPr>
      <w:r>
        <w:t>After selecting this icon, a new box will open which gives the user three options for a base map layer (Figure 3). Current available base map layers are ESRI Streets, ESRI Imagery and ESRI Topography. Once the selection is done, the user can click on the same icon to have the box removed from the window.</w:t>
      </w:r>
    </w:p>
    <w:p w:rsidR="00C14782" w:rsidRDefault="00C14782">
      <w:pPr>
        <w:spacing w:line="276" w:lineRule="auto"/>
        <w:sectPr w:rsidR="00C14782">
          <w:pgSz w:w="12240" w:h="15840"/>
          <w:pgMar w:top="1380" w:right="1340" w:bottom="1160" w:left="1340" w:header="0" w:footer="973" w:gutter="0"/>
          <w:cols w:space="720"/>
        </w:sectPr>
      </w:pPr>
    </w:p>
    <w:p w:rsidR="00C14782" w:rsidRDefault="002F33BB">
      <w:pPr>
        <w:pStyle w:val="BodyText"/>
        <w:ind w:left="3392"/>
        <w:rPr>
          <w:sz w:val="20"/>
        </w:rPr>
      </w:pPr>
      <w:r>
        <w:rPr>
          <w:noProof/>
          <w:sz w:val="20"/>
        </w:rPr>
        <w:lastRenderedPageBreak/>
        <w:drawing>
          <wp:inline distT="0" distB="0" distL="0" distR="0">
            <wp:extent cx="1768650" cy="608647"/>
            <wp:effectExtent l="0" t="0" r="0" b="0"/>
            <wp:docPr id="1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5.jpeg"/>
                    <pic:cNvPicPr/>
                  </pic:nvPicPr>
                  <pic:blipFill>
                    <a:blip r:embed="rId33" cstate="print"/>
                    <a:stretch>
                      <a:fillRect/>
                    </a:stretch>
                  </pic:blipFill>
                  <pic:spPr>
                    <a:xfrm>
                      <a:off x="0" y="0"/>
                      <a:ext cx="1768650" cy="608647"/>
                    </a:xfrm>
                    <a:prstGeom prst="rect">
                      <a:avLst/>
                    </a:prstGeom>
                  </pic:spPr>
                </pic:pic>
              </a:graphicData>
            </a:graphic>
          </wp:inline>
        </w:drawing>
      </w:r>
    </w:p>
    <w:p w:rsidR="00C14782" w:rsidRDefault="002F33BB">
      <w:pPr>
        <w:pStyle w:val="Heading2"/>
        <w:spacing w:before="128"/>
        <w:ind w:right="497"/>
        <w:jc w:val="center"/>
      </w:pPr>
      <w:r>
        <w:t xml:space="preserve">Figure 3: ESRI street, imagery and topography </w:t>
      </w:r>
      <w:proofErr w:type="spellStart"/>
      <w:r>
        <w:t>basemaps</w:t>
      </w:r>
      <w:proofErr w:type="spellEnd"/>
      <w:r>
        <w:t xml:space="preserve"> in O-HELP 3D (Left to Right).</w:t>
      </w:r>
    </w:p>
    <w:p w:rsidR="00C14782" w:rsidRDefault="00C14782">
      <w:pPr>
        <w:pStyle w:val="BodyText"/>
        <w:rPr>
          <w:b/>
          <w:sz w:val="24"/>
        </w:rPr>
      </w:pPr>
    </w:p>
    <w:p w:rsidR="00C14782" w:rsidRDefault="00C14782">
      <w:pPr>
        <w:pStyle w:val="BodyText"/>
        <w:spacing w:before="3"/>
        <w:rPr>
          <w:b/>
          <w:sz w:val="32"/>
        </w:rPr>
      </w:pPr>
    </w:p>
    <w:p w:rsidR="00C14782" w:rsidRDefault="002F33BB">
      <w:pPr>
        <w:pStyle w:val="ListParagraph"/>
        <w:numPr>
          <w:ilvl w:val="0"/>
          <w:numId w:val="9"/>
        </w:numPr>
        <w:tabs>
          <w:tab w:val="left" w:pos="325"/>
        </w:tabs>
        <w:ind w:hanging="225"/>
        <w:rPr>
          <w:b/>
        </w:rPr>
      </w:pPr>
      <w:r>
        <w:pict>
          <v:group id="_x0000_s1056" style="position:absolute;left:0;text-align:left;margin-left:147.15pt;margin-top:-7.85pt;width:18pt;height:18pt;z-index:251678720;mso-position-horizontal-relative:page" coordorigin="2943,-157" coordsize="360,360">
            <v:shape id="_x0000_s1058" type="#_x0000_t75" style="position:absolute;left:2943;top:-158;width:360;height:360">
              <v:imagedata r:id="rId34" o:title=""/>
            </v:shape>
            <v:shape id="_x0000_s1057" type="#_x0000_t75" style="position:absolute;left:2996;top:-104;width:256;height:256">
              <v:imagedata r:id="rId12" o:title=""/>
            </v:shape>
            <w10:wrap anchorx="page"/>
          </v:group>
        </w:pict>
      </w:r>
      <w:bookmarkStart w:id="16" w:name="_bookmark15"/>
      <w:bookmarkEnd w:id="16"/>
      <w:r>
        <w:rPr>
          <w:b/>
        </w:rPr>
        <w:t>Opacity</w:t>
      </w:r>
      <w:r>
        <w:rPr>
          <w:b/>
          <w:spacing w:val="-2"/>
        </w:rPr>
        <w:t xml:space="preserve"> </w:t>
      </w:r>
      <w:r>
        <w:rPr>
          <w:b/>
        </w:rPr>
        <w:t>Tool</w:t>
      </w:r>
    </w:p>
    <w:p w:rsidR="00C14782" w:rsidRDefault="002F33BB">
      <w:pPr>
        <w:pStyle w:val="BodyText"/>
        <w:spacing w:before="39" w:line="276" w:lineRule="auto"/>
        <w:ind w:left="100" w:right="123"/>
      </w:pPr>
      <w:r>
        <w:t>The opacity tool enables the user to change the opacity of the current selected layer. Note that only one layer can be visible and selected at a time. The default initialized value for opacity is 60%. By clicking on the icon, a box will pop up (Figure 4) wherein the user can adjust the opacity value by moving a slider.</w:t>
      </w:r>
    </w:p>
    <w:p w:rsidR="00C14782" w:rsidRDefault="002F33BB">
      <w:pPr>
        <w:pStyle w:val="BodyText"/>
        <w:spacing w:line="276" w:lineRule="auto"/>
        <w:ind w:left="100"/>
      </w:pPr>
      <w:r>
        <w:t>By increasing the opacity value, the layer will become less opaque and more visible. By decreasing the value, the layer will become more transparent and the underlying base map will become more</w:t>
      </w:r>
      <w:r>
        <w:rPr>
          <w:spacing w:val="-30"/>
        </w:rPr>
        <w:t xml:space="preserve"> </w:t>
      </w:r>
      <w:r>
        <w:t>visible.</w:t>
      </w:r>
    </w:p>
    <w:p w:rsidR="00C14782" w:rsidRDefault="002F33BB">
      <w:pPr>
        <w:pStyle w:val="BodyText"/>
        <w:spacing w:before="2"/>
        <w:rPr>
          <w:sz w:val="14"/>
        </w:rPr>
      </w:pPr>
      <w:r>
        <w:rPr>
          <w:noProof/>
        </w:rPr>
        <w:drawing>
          <wp:anchor distT="0" distB="0" distL="0" distR="0" simplePos="0" relativeHeight="17" behindDoc="0" locked="0" layoutInCell="1" allowOverlap="1">
            <wp:simplePos x="0" y="0"/>
            <wp:positionH relativeFrom="page">
              <wp:posOffset>3160776</wp:posOffset>
            </wp:positionH>
            <wp:positionV relativeFrom="paragraph">
              <wp:posOffset>128569</wp:posOffset>
            </wp:positionV>
            <wp:extent cx="1441260" cy="443960"/>
            <wp:effectExtent l="0" t="0" r="0" b="0"/>
            <wp:wrapTopAndBottom/>
            <wp:docPr id="2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7.png"/>
                    <pic:cNvPicPr/>
                  </pic:nvPicPr>
                  <pic:blipFill>
                    <a:blip r:embed="rId35" cstate="print"/>
                    <a:stretch>
                      <a:fillRect/>
                    </a:stretch>
                  </pic:blipFill>
                  <pic:spPr>
                    <a:xfrm>
                      <a:off x="0" y="0"/>
                      <a:ext cx="1441260" cy="443960"/>
                    </a:xfrm>
                    <a:prstGeom prst="rect">
                      <a:avLst/>
                    </a:prstGeom>
                  </pic:spPr>
                </pic:pic>
              </a:graphicData>
            </a:graphic>
          </wp:anchor>
        </w:drawing>
      </w:r>
    </w:p>
    <w:p w:rsidR="00C14782" w:rsidRDefault="00C14782">
      <w:pPr>
        <w:pStyle w:val="BodyText"/>
        <w:spacing w:before="9"/>
        <w:rPr>
          <w:sz w:val="19"/>
        </w:rPr>
      </w:pPr>
    </w:p>
    <w:p w:rsidR="00C14782" w:rsidRDefault="002F33BB">
      <w:pPr>
        <w:pStyle w:val="Heading2"/>
        <w:ind w:right="497"/>
        <w:jc w:val="center"/>
      </w:pPr>
      <w:r>
        <w:t>Figure</w:t>
      </w:r>
      <w:r>
        <w:rPr>
          <w:spacing w:val="-4"/>
        </w:rPr>
        <w:t xml:space="preserve"> </w:t>
      </w:r>
      <w:r>
        <w:t>4:</w:t>
      </w:r>
      <w:r>
        <w:rPr>
          <w:spacing w:val="-4"/>
        </w:rPr>
        <w:t xml:space="preserve"> </w:t>
      </w:r>
      <w:r>
        <w:t>Window</w:t>
      </w:r>
      <w:r>
        <w:rPr>
          <w:spacing w:val="-5"/>
        </w:rPr>
        <w:t xml:space="preserve"> </w:t>
      </w:r>
      <w:r>
        <w:t>with</w:t>
      </w:r>
      <w:r>
        <w:rPr>
          <w:spacing w:val="-1"/>
        </w:rPr>
        <w:t xml:space="preserve"> </w:t>
      </w:r>
      <w:r>
        <w:t>a</w:t>
      </w:r>
      <w:r>
        <w:rPr>
          <w:spacing w:val="-1"/>
        </w:rPr>
        <w:t xml:space="preserve"> </w:t>
      </w:r>
      <w:r>
        <w:t>slider</w:t>
      </w:r>
      <w:r>
        <w:rPr>
          <w:spacing w:val="-2"/>
        </w:rPr>
        <w:t xml:space="preserve"> </w:t>
      </w:r>
      <w:r>
        <w:t>for</w:t>
      </w:r>
      <w:r>
        <w:rPr>
          <w:spacing w:val="-4"/>
        </w:rPr>
        <w:t xml:space="preserve"> </w:t>
      </w:r>
      <w:r>
        <w:t>adjusting</w:t>
      </w:r>
      <w:r>
        <w:rPr>
          <w:spacing w:val="1"/>
        </w:rPr>
        <w:t xml:space="preserve"> </w:t>
      </w:r>
      <w:r>
        <w:t>the</w:t>
      </w:r>
      <w:r>
        <w:rPr>
          <w:spacing w:val="-5"/>
        </w:rPr>
        <w:t xml:space="preserve"> </w:t>
      </w:r>
      <w:r>
        <w:t>opacity</w:t>
      </w:r>
      <w:r>
        <w:rPr>
          <w:spacing w:val="-4"/>
        </w:rPr>
        <w:t xml:space="preserve"> </w:t>
      </w:r>
      <w:r>
        <w:t>value</w:t>
      </w:r>
      <w:r>
        <w:rPr>
          <w:spacing w:val="-3"/>
        </w:rPr>
        <w:t xml:space="preserve"> </w:t>
      </w:r>
      <w:r>
        <w:t>of the</w:t>
      </w:r>
      <w:r>
        <w:rPr>
          <w:spacing w:val="-4"/>
        </w:rPr>
        <w:t xml:space="preserve"> </w:t>
      </w:r>
      <w:r>
        <w:t>current</w:t>
      </w:r>
      <w:r>
        <w:rPr>
          <w:spacing w:val="-4"/>
        </w:rPr>
        <w:t xml:space="preserve"> </w:t>
      </w:r>
      <w:r>
        <w:t>selected</w:t>
      </w:r>
      <w:r>
        <w:rPr>
          <w:spacing w:val="-1"/>
        </w:rPr>
        <w:t xml:space="preserve"> </w:t>
      </w:r>
      <w:r>
        <w:t>layer.</w:t>
      </w:r>
    </w:p>
    <w:p w:rsidR="00C14782" w:rsidRDefault="00C14782">
      <w:pPr>
        <w:pStyle w:val="BodyText"/>
        <w:spacing w:before="10"/>
        <w:rPr>
          <w:b/>
          <w:sz w:val="30"/>
        </w:rPr>
      </w:pPr>
    </w:p>
    <w:p w:rsidR="00C14782" w:rsidRDefault="002F33BB">
      <w:pPr>
        <w:pStyle w:val="ListParagraph"/>
        <w:numPr>
          <w:ilvl w:val="0"/>
          <w:numId w:val="9"/>
        </w:numPr>
        <w:tabs>
          <w:tab w:val="left" w:pos="325"/>
        </w:tabs>
        <w:ind w:hanging="225"/>
        <w:rPr>
          <w:b/>
        </w:rPr>
      </w:pPr>
      <w:r>
        <w:pict>
          <v:group id="_x0000_s1053" style="position:absolute;left:0;text-align:left;margin-left:147.15pt;margin-top:-7.75pt;width:18pt;height:18pt;z-index:251679744;mso-position-horizontal-relative:page" coordorigin="2943,-155" coordsize="360,360">
            <v:shape id="_x0000_s1055" type="#_x0000_t75" style="position:absolute;left:2943;top:-156;width:360;height:360">
              <v:imagedata r:id="rId36" o:title=""/>
            </v:shape>
            <v:shape id="_x0000_s1054" type="#_x0000_t75" style="position:absolute;left:2996;top:-98;width:255;height:249">
              <v:imagedata r:id="rId37" o:title=""/>
            </v:shape>
            <w10:wrap anchorx="page"/>
          </v:group>
        </w:pict>
      </w:r>
      <w:bookmarkStart w:id="17" w:name="_bookmark16"/>
      <w:bookmarkEnd w:id="17"/>
      <w:r>
        <w:rPr>
          <w:b/>
        </w:rPr>
        <w:t>Reports</w:t>
      </w:r>
      <w:r>
        <w:rPr>
          <w:b/>
          <w:spacing w:val="-1"/>
        </w:rPr>
        <w:t xml:space="preserve"> </w:t>
      </w:r>
      <w:r>
        <w:rPr>
          <w:b/>
        </w:rPr>
        <w:t>Tool</w:t>
      </w:r>
    </w:p>
    <w:p w:rsidR="00C14782" w:rsidRDefault="002F33BB">
      <w:pPr>
        <w:pStyle w:val="BodyText"/>
        <w:spacing w:before="40" w:line="276" w:lineRule="auto"/>
        <w:ind w:left="100" w:right="471"/>
      </w:pPr>
      <w:r>
        <w:t xml:space="preserve">By clicking on the measurement tool button, a box will be shown (see </w:t>
      </w:r>
      <w:hyperlink w:anchor="_bookmark17" w:history="1">
        <w:r>
          <w:t xml:space="preserve">Figure </w:t>
        </w:r>
      </w:hyperlink>
      <w:r>
        <w:t>5) which gives the user ability to select a single point report, multipoint report, CSV multipoint report, or screenshot.</w:t>
      </w:r>
    </w:p>
    <w:p w:rsidR="00C14782" w:rsidRDefault="002F33BB">
      <w:pPr>
        <w:pStyle w:val="BodyText"/>
        <w:spacing w:before="1"/>
        <w:rPr>
          <w:sz w:val="14"/>
        </w:rPr>
      </w:pPr>
      <w:r>
        <w:rPr>
          <w:noProof/>
        </w:rPr>
        <w:drawing>
          <wp:anchor distT="0" distB="0" distL="0" distR="0" simplePos="0" relativeHeight="18" behindDoc="0" locked="0" layoutInCell="1" allowOverlap="1">
            <wp:simplePos x="0" y="0"/>
            <wp:positionH relativeFrom="page">
              <wp:posOffset>2724150</wp:posOffset>
            </wp:positionH>
            <wp:positionV relativeFrom="paragraph">
              <wp:posOffset>128009</wp:posOffset>
            </wp:positionV>
            <wp:extent cx="2324576" cy="619125"/>
            <wp:effectExtent l="0" t="0" r="0" b="0"/>
            <wp:wrapTopAndBottom/>
            <wp:docPr id="2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0.png"/>
                    <pic:cNvPicPr/>
                  </pic:nvPicPr>
                  <pic:blipFill>
                    <a:blip r:embed="rId38" cstate="print"/>
                    <a:stretch>
                      <a:fillRect/>
                    </a:stretch>
                  </pic:blipFill>
                  <pic:spPr>
                    <a:xfrm>
                      <a:off x="0" y="0"/>
                      <a:ext cx="2324576" cy="619125"/>
                    </a:xfrm>
                    <a:prstGeom prst="rect">
                      <a:avLst/>
                    </a:prstGeom>
                  </pic:spPr>
                </pic:pic>
              </a:graphicData>
            </a:graphic>
          </wp:anchor>
        </w:drawing>
      </w:r>
    </w:p>
    <w:p w:rsidR="00C14782" w:rsidRDefault="00C14782">
      <w:pPr>
        <w:pStyle w:val="BodyText"/>
        <w:spacing w:before="6"/>
        <w:rPr>
          <w:sz w:val="19"/>
        </w:rPr>
      </w:pPr>
    </w:p>
    <w:p w:rsidR="00C14782" w:rsidRDefault="002F33BB">
      <w:pPr>
        <w:pStyle w:val="Heading2"/>
        <w:ind w:left="490" w:right="497"/>
        <w:jc w:val="center"/>
      </w:pPr>
      <w:bookmarkStart w:id="18" w:name="_bookmark17"/>
      <w:bookmarkEnd w:id="18"/>
      <w:r>
        <w:t>Figure 5: Window with single point report, multipoint report, CSV multipoint report, and screenshot (Left to Right)</w:t>
      </w:r>
    </w:p>
    <w:p w:rsidR="00C14782" w:rsidRDefault="00C14782">
      <w:pPr>
        <w:pStyle w:val="BodyText"/>
        <w:spacing w:before="5"/>
        <w:rPr>
          <w:b/>
          <w:sz w:val="30"/>
        </w:rPr>
      </w:pPr>
    </w:p>
    <w:p w:rsidR="00C14782" w:rsidRDefault="002F33BB">
      <w:pPr>
        <w:ind w:left="100"/>
        <w:rPr>
          <w:i/>
        </w:rPr>
      </w:pPr>
      <w:r>
        <w:rPr>
          <w:noProof/>
        </w:rPr>
        <w:drawing>
          <wp:anchor distT="0" distB="0" distL="0" distR="0" simplePos="0" relativeHeight="251677696" behindDoc="0" locked="0" layoutInCell="1" allowOverlap="1">
            <wp:simplePos x="0" y="0"/>
            <wp:positionH relativeFrom="page">
              <wp:posOffset>2058320</wp:posOffset>
            </wp:positionH>
            <wp:positionV relativeFrom="paragraph">
              <wp:posOffset>-96271</wp:posOffset>
            </wp:positionV>
            <wp:extent cx="207168" cy="200025"/>
            <wp:effectExtent l="0" t="0" r="0" b="0"/>
            <wp:wrapNone/>
            <wp:docPr id="2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1.png"/>
                    <pic:cNvPicPr/>
                  </pic:nvPicPr>
                  <pic:blipFill>
                    <a:blip r:embed="rId39" cstate="print"/>
                    <a:stretch>
                      <a:fillRect/>
                    </a:stretch>
                  </pic:blipFill>
                  <pic:spPr>
                    <a:xfrm>
                      <a:off x="0" y="0"/>
                      <a:ext cx="207168" cy="200025"/>
                    </a:xfrm>
                    <a:prstGeom prst="rect">
                      <a:avLst/>
                    </a:prstGeom>
                  </pic:spPr>
                </pic:pic>
              </a:graphicData>
            </a:graphic>
          </wp:anchor>
        </w:drawing>
      </w:r>
      <w:r>
        <w:rPr>
          <w:i/>
          <w:u w:val="single"/>
        </w:rPr>
        <w:t>Single Point Report</w:t>
      </w:r>
    </w:p>
    <w:p w:rsidR="00C14782" w:rsidRDefault="002F33BB">
      <w:pPr>
        <w:pStyle w:val="BodyText"/>
        <w:spacing w:before="43" w:line="276" w:lineRule="auto"/>
        <w:ind w:left="100" w:right="483"/>
      </w:pPr>
      <w:r>
        <w:t xml:space="preserve">After clicking on the single point report button, the user can click on a desired point on the map and a pop-up window will appear like the one shown in </w:t>
      </w:r>
      <w:hyperlink w:anchor="_bookmark13" w:history="1">
        <w:r>
          <w:t>Figure 2</w:t>
        </w:r>
      </w:hyperlink>
      <w:r>
        <w:t>2. This will allow the user to view the latitude/longitude of the point as well as a screenshot of the final report linked to a detail report on the pinned point. Similar report can be obtained by using any of the following options:</w:t>
      </w:r>
    </w:p>
    <w:p w:rsidR="00C14782" w:rsidRDefault="002F33BB">
      <w:pPr>
        <w:pStyle w:val="ListParagraph"/>
        <w:numPr>
          <w:ilvl w:val="1"/>
          <w:numId w:val="9"/>
        </w:numPr>
        <w:tabs>
          <w:tab w:val="left" w:pos="820"/>
          <w:tab w:val="left" w:pos="821"/>
        </w:tabs>
        <w:spacing w:before="1"/>
        <w:ind w:hanging="361"/>
      </w:pPr>
      <w:r>
        <w:t>Using the address locator in the search box (see “4. Address</w:t>
      </w:r>
      <w:r>
        <w:rPr>
          <w:spacing w:val="-9"/>
        </w:rPr>
        <w:t xml:space="preserve"> </w:t>
      </w:r>
      <w:r>
        <w:t>Locator”)</w:t>
      </w:r>
    </w:p>
    <w:p w:rsidR="00C14782" w:rsidRDefault="002F33BB">
      <w:pPr>
        <w:pStyle w:val="ListParagraph"/>
        <w:numPr>
          <w:ilvl w:val="1"/>
          <w:numId w:val="9"/>
        </w:numPr>
        <w:tabs>
          <w:tab w:val="left" w:pos="820"/>
          <w:tab w:val="left" w:pos="821"/>
        </w:tabs>
        <w:spacing w:before="35"/>
        <w:ind w:hanging="361"/>
      </w:pPr>
      <w:r>
        <w:t>Using the single point report</w:t>
      </w:r>
      <w:r>
        <w:rPr>
          <w:spacing w:val="1"/>
        </w:rPr>
        <w:t xml:space="preserve"> </w:t>
      </w:r>
      <w:r>
        <w:t>button</w:t>
      </w:r>
    </w:p>
    <w:p w:rsidR="00C14782" w:rsidRDefault="002F33BB">
      <w:pPr>
        <w:pStyle w:val="BodyText"/>
        <w:spacing w:before="38" w:line="276" w:lineRule="auto"/>
        <w:ind w:left="100" w:right="140"/>
      </w:pPr>
      <w:r>
        <w:t xml:space="preserve">Both of above methods will add a point to the map at the desired location and a pop up window will be shown (Figure 2). Inside the window, the report thumbnail will link to an O-HELP hazard report in a new window for that specified location. An example O-HELP hazard report is shown in </w:t>
      </w:r>
      <w:hyperlink w:anchor="_bookmark18" w:history="1">
        <w:r>
          <w:t>Figure 6</w:t>
        </w:r>
      </w:hyperlink>
      <w:r>
        <w:t>6.</w:t>
      </w:r>
    </w:p>
    <w:p w:rsidR="00C14782" w:rsidRDefault="00C14782">
      <w:pPr>
        <w:spacing w:line="276" w:lineRule="auto"/>
        <w:sectPr w:rsidR="00C14782">
          <w:pgSz w:w="12240" w:h="15840"/>
          <w:pgMar w:top="1440" w:right="1340" w:bottom="1160" w:left="1340" w:header="0" w:footer="973" w:gutter="0"/>
          <w:cols w:space="720"/>
        </w:sectPr>
      </w:pPr>
    </w:p>
    <w:p w:rsidR="00C14782" w:rsidRDefault="002F33BB">
      <w:pPr>
        <w:pStyle w:val="BodyText"/>
        <w:ind w:left="1405"/>
        <w:rPr>
          <w:sz w:val="20"/>
        </w:rPr>
      </w:pPr>
      <w:r>
        <w:rPr>
          <w:noProof/>
          <w:sz w:val="20"/>
        </w:rPr>
        <w:lastRenderedPageBreak/>
        <w:drawing>
          <wp:inline distT="0" distB="0" distL="0" distR="0">
            <wp:extent cx="4315118" cy="4352544"/>
            <wp:effectExtent l="0" t="0" r="0" b="0"/>
            <wp:docPr id="2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2.png"/>
                    <pic:cNvPicPr/>
                  </pic:nvPicPr>
                  <pic:blipFill>
                    <a:blip r:embed="rId40" cstate="print"/>
                    <a:stretch>
                      <a:fillRect/>
                    </a:stretch>
                  </pic:blipFill>
                  <pic:spPr>
                    <a:xfrm>
                      <a:off x="0" y="0"/>
                      <a:ext cx="4315118" cy="4352544"/>
                    </a:xfrm>
                    <a:prstGeom prst="rect">
                      <a:avLst/>
                    </a:prstGeom>
                  </pic:spPr>
                </pic:pic>
              </a:graphicData>
            </a:graphic>
          </wp:inline>
        </w:drawing>
      </w:r>
    </w:p>
    <w:p w:rsidR="00C14782" w:rsidRDefault="00C14782">
      <w:pPr>
        <w:pStyle w:val="BodyText"/>
        <w:spacing w:before="5"/>
        <w:rPr>
          <w:sz w:val="8"/>
        </w:rPr>
      </w:pPr>
    </w:p>
    <w:p w:rsidR="00C14782" w:rsidRDefault="002F33BB">
      <w:pPr>
        <w:pStyle w:val="Heading2"/>
        <w:spacing w:before="91"/>
        <w:ind w:left="388"/>
      </w:pPr>
      <w:bookmarkStart w:id="19" w:name="_bookmark18"/>
      <w:bookmarkEnd w:id="19"/>
      <w:r>
        <w:t>Figure 6: Example O-HELP hazard report, generated by clicking on the “Print Report Tool”.</w:t>
      </w:r>
    </w:p>
    <w:p w:rsidR="00C14782" w:rsidRDefault="002F33BB">
      <w:pPr>
        <w:pStyle w:val="BodyText"/>
        <w:spacing w:before="199" w:line="278" w:lineRule="auto"/>
        <w:ind w:left="100" w:right="178"/>
      </w:pPr>
      <w:r>
        <w:t>Each generated report for a specific location has 4 sections. Data shown in this report are taken from the data layers referenced later in this manual. In the first section of the report, a user can type a site name and any relevant comments. This section also includes the latitude and longitude of the site, and the date.</w:t>
      </w:r>
    </w:p>
    <w:p w:rsidR="00C14782" w:rsidRDefault="002F33BB">
      <w:pPr>
        <w:pStyle w:val="BodyText"/>
        <w:spacing w:before="192" w:line="276" w:lineRule="auto"/>
        <w:ind w:left="100" w:right="513"/>
      </w:pPr>
      <w:r>
        <w:t>The second section gives the user the details of general site information, including elevation, slope, NEHRP site class, general and detailed site geology information, the corresponding geologic symbol, geologic age, and distance to nearest mapped active fault.</w:t>
      </w:r>
    </w:p>
    <w:p w:rsidR="00C14782" w:rsidRDefault="002F33BB">
      <w:pPr>
        <w:pStyle w:val="BodyText"/>
        <w:spacing w:before="203" w:line="276" w:lineRule="auto"/>
        <w:ind w:left="100" w:right="467"/>
        <w:jc w:val="both"/>
      </w:pPr>
      <w:r>
        <w:t xml:space="preserve">The third section summarizes details about estimated seismic parameters in that location given a CSZ earthquake scenario of M8.1, M8.4, M8.7, and M9.0. Such parameters are the modified Mercalli scale earthquake intensity, peak ground acceleration (PGA), peak ground velocity (PGV), coastal </w:t>
      </w:r>
      <w:proofErr w:type="spellStart"/>
      <w:r>
        <w:t>coseismic</w:t>
      </w:r>
      <w:proofErr w:type="spellEnd"/>
      <w:r>
        <w:t xml:space="preserve"> subsidence (only available for M9.0), and one-second spectral response.</w:t>
      </w:r>
    </w:p>
    <w:p w:rsidR="00C14782" w:rsidRDefault="002F33BB">
      <w:pPr>
        <w:pStyle w:val="BodyText"/>
        <w:spacing w:before="201" w:line="276" w:lineRule="auto"/>
        <w:ind w:left="100" w:right="152"/>
      </w:pPr>
      <w:r>
        <w:t>Within the fourth section of the report, various hazards associated with a Cascadia Subduction Zone earthquake scenarios are given in a graphical representation. The landslide probability, estimated landslide displacement, liquefaction triggering probability, and estimated lateral spreading displacement values are categorized into 5 different hazard classes: very low, low, medium, high and very high. Note that these are generalized categorizations and would vary depending on the structure or object of interest.</w:t>
      </w:r>
    </w:p>
    <w:p w:rsidR="00C14782" w:rsidRDefault="002F33BB">
      <w:pPr>
        <w:pStyle w:val="BodyText"/>
        <w:spacing w:before="198"/>
        <w:ind w:left="100"/>
        <w:jc w:val="both"/>
      </w:pPr>
      <w:r>
        <w:t>Table 1 defines the thresholds used to categorize these hazards.</w:t>
      </w:r>
    </w:p>
    <w:p w:rsidR="00C14782" w:rsidRDefault="00C14782">
      <w:pPr>
        <w:jc w:val="both"/>
        <w:sectPr w:rsidR="00C14782">
          <w:pgSz w:w="12240" w:h="15840"/>
          <w:pgMar w:top="1480" w:right="1340" w:bottom="1160" w:left="1340" w:header="0" w:footer="973" w:gutter="0"/>
          <w:cols w:space="720"/>
        </w:sectPr>
      </w:pPr>
    </w:p>
    <w:p w:rsidR="00C14782" w:rsidRDefault="002F33BB">
      <w:pPr>
        <w:pStyle w:val="Heading2"/>
        <w:spacing w:before="79"/>
        <w:ind w:right="499"/>
        <w:jc w:val="center"/>
      </w:pPr>
      <w:r>
        <w:lastRenderedPageBreak/>
        <w:t>Table 1: Various classes of hazards and their corresponding thresholds.</w:t>
      </w:r>
    </w:p>
    <w:p w:rsidR="00C14782" w:rsidRDefault="00C14782">
      <w:pPr>
        <w:pStyle w:val="BodyText"/>
        <w:spacing w:before="4" w:after="1"/>
        <w:rPr>
          <w:b/>
          <w:sz w:val="17"/>
        </w:rPr>
      </w:pPr>
    </w:p>
    <w:tbl>
      <w:tblPr>
        <w:tblW w:w="0" w:type="auto"/>
        <w:tblInd w:w="648" w:type="dxa"/>
        <w:tblLayout w:type="fixed"/>
        <w:tblCellMar>
          <w:left w:w="0" w:type="dxa"/>
          <w:right w:w="0" w:type="dxa"/>
        </w:tblCellMar>
        <w:tblLook w:val="01E0" w:firstRow="1" w:lastRow="1" w:firstColumn="1" w:lastColumn="1" w:noHBand="0" w:noVBand="0"/>
      </w:tblPr>
      <w:tblGrid>
        <w:gridCol w:w="2471"/>
        <w:gridCol w:w="856"/>
        <w:gridCol w:w="992"/>
        <w:gridCol w:w="992"/>
        <w:gridCol w:w="992"/>
        <w:gridCol w:w="992"/>
        <w:gridCol w:w="990"/>
      </w:tblGrid>
      <w:tr w:rsidR="00C14782">
        <w:trPr>
          <w:trHeight w:val="527"/>
        </w:trPr>
        <w:tc>
          <w:tcPr>
            <w:tcW w:w="2471" w:type="dxa"/>
            <w:tcBorders>
              <w:top w:val="single" w:sz="8" w:space="0" w:color="000000"/>
              <w:left w:val="single" w:sz="8" w:space="0" w:color="000000"/>
              <w:bottom w:val="single" w:sz="4" w:space="0" w:color="000000"/>
            </w:tcBorders>
          </w:tcPr>
          <w:p w:rsidR="00C14782" w:rsidRDefault="002F33BB">
            <w:pPr>
              <w:pStyle w:val="TableParagraph"/>
              <w:spacing w:before="129"/>
              <w:ind w:left="260" w:right="196"/>
              <w:rPr>
                <w:b/>
                <w:sz w:val="20"/>
              </w:rPr>
            </w:pPr>
            <w:r>
              <w:rPr>
                <w:b/>
                <w:sz w:val="20"/>
              </w:rPr>
              <w:t>Layer</w:t>
            </w:r>
          </w:p>
        </w:tc>
        <w:tc>
          <w:tcPr>
            <w:tcW w:w="856" w:type="dxa"/>
            <w:tcBorders>
              <w:top w:val="single" w:sz="8" w:space="0" w:color="000000"/>
              <w:bottom w:val="single" w:sz="4" w:space="0" w:color="000000"/>
              <w:right w:val="single" w:sz="4" w:space="0" w:color="000000"/>
            </w:tcBorders>
          </w:tcPr>
          <w:p w:rsidR="00C14782" w:rsidRDefault="002F33BB">
            <w:pPr>
              <w:pStyle w:val="TableParagraph"/>
              <w:spacing w:before="129"/>
              <w:ind w:left="222" w:right="132"/>
              <w:rPr>
                <w:b/>
                <w:sz w:val="20"/>
              </w:rPr>
            </w:pPr>
            <w:r>
              <w:rPr>
                <w:b/>
                <w:sz w:val="20"/>
              </w:rPr>
              <w:t>Units</w:t>
            </w:r>
          </w:p>
        </w:tc>
        <w:tc>
          <w:tcPr>
            <w:tcW w:w="992" w:type="dxa"/>
            <w:tcBorders>
              <w:top w:val="single" w:sz="8" w:space="0" w:color="000000"/>
              <w:left w:val="single" w:sz="4" w:space="0" w:color="000000"/>
              <w:bottom w:val="single" w:sz="4" w:space="0" w:color="000000"/>
            </w:tcBorders>
            <w:shd w:val="clear" w:color="auto" w:fill="92D050"/>
          </w:tcPr>
          <w:p w:rsidR="00C14782" w:rsidRDefault="002F33BB">
            <w:pPr>
              <w:pStyle w:val="TableParagraph"/>
              <w:spacing w:line="227" w:lineRule="exact"/>
              <w:ind w:left="293"/>
              <w:jc w:val="left"/>
              <w:rPr>
                <w:b/>
                <w:sz w:val="20"/>
              </w:rPr>
            </w:pPr>
            <w:r>
              <w:rPr>
                <w:b/>
                <w:sz w:val="20"/>
              </w:rPr>
              <w:t>Very</w:t>
            </w:r>
          </w:p>
          <w:p w:rsidR="00C14782" w:rsidRDefault="002F33BB">
            <w:pPr>
              <w:pStyle w:val="TableParagraph"/>
              <w:spacing w:before="34"/>
              <w:ind w:left="313"/>
              <w:jc w:val="left"/>
              <w:rPr>
                <w:b/>
                <w:sz w:val="20"/>
              </w:rPr>
            </w:pPr>
            <w:r>
              <w:rPr>
                <w:b/>
                <w:sz w:val="20"/>
              </w:rPr>
              <w:t>Low</w:t>
            </w:r>
          </w:p>
        </w:tc>
        <w:tc>
          <w:tcPr>
            <w:tcW w:w="992" w:type="dxa"/>
            <w:tcBorders>
              <w:top w:val="single" w:sz="8" w:space="0" w:color="000000"/>
              <w:bottom w:val="single" w:sz="4" w:space="0" w:color="000000"/>
            </w:tcBorders>
            <w:shd w:val="clear" w:color="auto" w:fill="C4D69B"/>
          </w:tcPr>
          <w:p w:rsidR="00C14782" w:rsidRDefault="002F33BB">
            <w:pPr>
              <w:pStyle w:val="TableParagraph"/>
              <w:spacing w:before="129"/>
              <w:ind w:left="124" w:right="103"/>
              <w:rPr>
                <w:b/>
                <w:sz w:val="20"/>
              </w:rPr>
            </w:pPr>
            <w:r>
              <w:rPr>
                <w:b/>
                <w:sz w:val="20"/>
              </w:rPr>
              <w:t>Low</w:t>
            </w:r>
          </w:p>
        </w:tc>
        <w:tc>
          <w:tcPr>
            <w:tcW w:w="992" w:type="dxa"/>
            <w:tcBorders>
              <w:top w:val="single" w:sz="8" w:space="0" w:color="000000"/>
              <w:bottom w:val="single" w:sz="4" w:space="0" w:color="000000"/>
            </w:tcBorders>
            <w:shd w:val="clear" w:color="auto" w:fill="FFFF00"/>
          </w:tcPr>
          <w:p w:rsidR="00C14782" w:rsidRDefault="002F33BB">
            <w:pPr>
              <w:pStyle w:val="TableParagraph"/>
              <w:spacing w:before="129"/>
              <w:ind w:left="124" w:right="104"/>
              <w:rPr>
                <w:b/>
                <w:sz w:val="20"/>
              </w:rPr>
            </w:pPr>
            <w:r>
              <w:rPr>
                <w:b/>
                <w:sz w:val="20"/>
              </w:rPr>
              <w:t>Medium</w:t>
            </w:r>
          </w:p>
        </w:tc>
        <w:tc>
          <w:tcPr>
            <w:tcW w:w="992" w:type="dxa"/>
            <w:tcBorders>
              <w:top w:val="single" w:sz="8" w:space="0" w:color="000000"/>
              <w:bottom w:val="single" w:sz="4" w:space="0" w:color="000000"/>
            </w:tcBorders>
            <w:shd w:val="clear" w:color="auto" w:fill="E16B09"/>
          </w:tcPr>
          <w:p w:rsidR="00C14782" w:rsidRDefault="002F33BB">
            <w:pPr>
              <w:pStyle w:val="TableParagraph"/>
              <w:spacing w:before="129"/>
              <w:ind w:left="124" w:right="103"/>
              <w:rPr>
                <w:b/>
                <w:sz w:val="20"/>
              </w:rPr>
            </w:pPr>
            <w:r>
              <w:rPr>
                <w:b/>
                <w:sz w:val="20"/>
              </w:rPr>
              <w:t>High</w:t>
            </w:r>
          </w:p>
        </w:tc>
        <w:tc>
          <w:tcPr>
            <w:tcW w:w="990" w:type="dxa"/>
            <w:tcBorders>
              <w:top w:val="single" w:sz="8" w:space="0" w:color="000000"/>
              <w:bottom w:val="single" w:sz="4" w:space="0" w:color="000000"/>
              <w:right w:val="single" w:sz="8" w:space="0" w:color="000000"/>
            </w:tcBorders>
            <w:shd w:val="clear" w:color="auto" w:fill="FF0000"/>
          </w:tcPr>
          <w:p w:rsidR="00C14782" w:rsidRDefault="002F33BB">
            <w:pPr>
              <w:pStyle w:val="TableParagraph"/>
              <w:spacing w:line="227" w:lineRule="exact"/>
              <w:ind w:left="295"/>
              <w:jc w:val="left"/>
              <w:rPr>
                <w:b/>
                <w:sz w:val="20"/>
              </w:rPr>
            </w:pPr>
            <w:r>
              <w:rPr>
                <w:b/>
                <w:sz w:val="20"/>
              </w:rPr>
              <w:t>Very</w:t>
            </w:r>
          </w:p>
          <w:p w:rsidR="00C14782" w:rsidRDefault="002F33BB">
            <w:pPr>
              <w:pStyle w:val="TableParagraph"/>
              <w:spacing w:before="34"/>
              <w:ind w:left="291"/>
              <w:jc w:val="left"/>
              <w:rPr>
                <w:b/>
                <w:sz w:val="20"/>
              </w:rPr>
            </w:pPr>
            <w:r>
              <w:rPr>
                <w:b/>
                <w:sz w:val="20"/>
              </w:rPr>
              <w:t>High</w:t>
            </w:r>
          </w:p>
        </w:tc>
      </w:tr>
      <w:tr w:rsidR="00C14782">
        <w:trPr>
          <w:trHeight w:val="353"/>
        </w:trPr>
        <w:tc>
          <w:tcPr>
            <w:tcW w:w="2471" w:type="dxa"/>
            <w:tcBorders>
              <w:top w:val="single" w:sz="4" w:space="0" w:color="000000"/>
              <w:left w:val="single" w:sz="8" w:space="0" w:color="000000"/>
            </w:tcBorders>
          </w:tcPr>
          <w:p w:rsidR="00C14782" w:rsidRDefault="002F33BB">
            <w:pPr>
              <w:pStyle w:val="TableParagraph"/>
              <w:spacing w:before="56"/>
              <w:ind w:left="260" w:right="200"/>
              <w:rPr>
                <w:sz w:val="20"/>
              </w:rPr>
            </w:pPr>
            <w:r>
              <w:rPr>
                <w:sz w:val="20"/>
              </w:rPr>
              <w:t>Landslide Probability</w:t>
            </w:r>
          </w:p>
        </w:tc>
        <w:tc>
          <w:tcPr>
            <w:tcW w:w="856" w:type="dxa"/>
            <w:tcBorders>
              <w:top w:val="single" w:sz="4" w:space="0" w:color="000000"/>
              <w:right w:val="single" w:sz="4" w:space="0" w:color="000000"/>
            </w:tcBorders>
          </w:tcPr>
          <w:p w:rsidR="00C14782" w:rsidRDefault="002F33BB">
            <w:pPr>
              <w:pStyle w:val="TableParagraph"/>
              <w:spacing w:before="56"/>
              <w:ind w:left="87"/>
              <w:rPr>
                <w:sz w:val="20"/>
              </w:rPr>
            </w:pPr>
            <w:r>
              <w:rPr>
                <w:w w:val="99"/>
                <w:sz w:val="20"/>
              </w:rPr>
              <w:t>%</w:t>
            </w:r>
          </w:p>
        </w:tc>
        <w:tc>
          <w:tcPr>
            <w:tcW w:w="992" w:type="dxa"/>
            <w:tcBorders>
              <w:top w:val="single" w:sz="4" w:space="0" w:color="000000"/>
              <w:left w:val="single" w:sz="4" w:space="0" w:color="000000"/>
            </w:tcBorders>
          </w:tcPr>
          <w:p w:rsidR="00C14782" w:rsidRDefault="002F33BB">
            <w:pPr>
              <w:pStyle w:val="TableParagraph"/>
              <w:spacing w:before="56"/>
              <w:ind w:left="346" w:right="334"/>
              <w:rPr>
                <w:sz w:val="20"/>
              </w:rPr>
            </w:pPr>
            <w:r>
              <w:rPr>
                <w:sz w:val="20"/>
              </w:rPr>
              <w:t>0-5</w:t>
            </w:r>
          </w:p>
        </w:tc>
        <w:tc>
          <w:tcPr>
            <w:tcW w:w="992" w:type="dxa"/>
            <w:tcBorders>
              <w:top w:val="single" w:sz="4" w:space="0" w:color="000000"/>
            </w:tcBorders>
          </w:tcPr>
          <w:p w:rsidR="00C14782" w:rsidRDefault="002F33BB">
            <w:pPr>
              <w:pStyle w:val="TableParagraph"/>
              <w:spacing w:before="56"/>
              <w:ind w:left="124" w:right="103"/>
              <w:rPr>
                <w:sz w:val="20"/>
              </w:rPr>
            </w:pPr>
            <w:r>
              <w:rPr>
                <w:sz w:val="20"/>
              </w:rPr>
              <w:t>5-10</w:t>
            </w:r>
          </w:p>
        </w:tc>
        <w:tc>
          <w:tcPr>
            <w:tcW w:w="992" w:type="dxa"/>
            <w:tcBorders>
              <w:top w:val="single" w:sz="4" w:space="0" w:color="000000"/>
            </w:tcBorders>
          </w:tcPr>
          <w:p w:rsidR="00C14782" w:rsidRDefault="002F33BB">
            <w:pPr>
              <w:pStyle w:val="TableParagraph"/>
              <w:spacing w:before="56"/>
              <w:ind w:left="122" w:right="104"/>
              <w:rPr>
                <w:sz w:val="20"/>
              </w:rPr>
            </w:pPr>
            <w:r>
              <w:rPr>
                <w:sz w:val="20"/>
              </w:rPr>
              <w:t>10-15</w:t>
            </w:r>
          </w:p>
        </w:tc>
        <w:tc>
          <w:tcPr>
            <w:tcW w:w="992" w:type="dxa"/>
            <w:tcBorders>
              <w:top w:val="single" w:sz="4" w:space="0" w:color="000000"/>
            </w:tcBorders>
          </w:tcPr>
          <w:p w:rsidR="00C14782" w:rsidRDefault="002F33BB">
            <w:pPr>
              <w:pStyle w:val="TableParagraph"/>
              <w:spacing w:before="56"/>
              <w:ind w:left="122" w:right="104"/>
              <w:rPr>
                <w:sz w:val="20"/>
              </w:rPr>
            </w:pPr>
            <w:r>
              <w:rPr>
                <w:sz w:val="20"/>
              </w:rPr>
              <w:t>15-20</w:t>
            </w:r>
          </w:p>
        </w:tc>
        <w:tc>
          <w:tcPr>
            <w:tcW w:w="990" w:type="dxa"/>
            <w:tcBorders>
              <w:top w:val="single" w:sz="4" w:space="0" w:color="000000"/>
              <w:right w:val="single" w:sz="8" w:space="0" w:color="000000"/>
            </w:tcBorders>
          </w:tcPr>
          <w:p w:rsidR="00C14782" w:rsidRDefault="002F33BB">
            <w:pPr>
              <w:pStyle w:val="TableParagraph"/>
              <w:spacing w:before="56"/>
              <w:ind w:right="318"/>
              <w:jc w:val="right"/>
              <w:rPr>
                <w:sz w:val="20"/>
              </w:rPr>
            </w:pPr>
            <w:r>
              <w:rPr>
                <w:sz w:val="20"/>
              </w:rPr>
              <w:t>&gt;20</w:t>
            </w:r>
          </w:p>
        </w:tc>
      </w:tr>
      <w:tr w:rsidR="00C14782">
        <w:trPr>
          <w:trHeight w:val="354"/>
        </w:trPr>
        <w:tc>
          <w:tcPr>
            <w:tcW w:w="2471" w:type="dxa"/>
            <w:tcBorders>
              <w:left w:val="single" w:sz="8" w:space="0" w:color="000000"/>
            </w:tcBorders>
          </w:tcPr>
          <w:p w:rsidR="00C14782" w:rsidRDefault="002F33BB">
            <w:pPr>
              <w:pStyle w:val="TableParagraph"/>
              <w:spacing w:before="58"/>
              <w:ind w:left="252" w:right="200"/>
              <w:rPr>
                <w:sz w:val="20"/>
              </w:rPr>
            </w:pPr>
            <w:r>
              <w:rPr>
                <w:sz w:val="20"/>
              </w:rPr>
              <w:t>Landslide Displacement</w:t>
            </w:r>
          </w:p>
        </w:tc>
        <w:tc>
          <w:tcPr>
            <w:tcW w:w="856" w:type="dxa"/>
            <w:tcBorders>
              <w:right w:val="single" w:sz="4" w:space="0" w:color="000000"/>
            </w:tcBorders>
          </w:tcPr>
          <w:p w:rsidR="00C14782" w:rsidRDefault="002F33BB">
            <w:pPr>
              <w:pStyle w:val="TableParagraph"/>
              <w:spacing w:before="58"/>
              <w:ind w:left="222" w:right="131"/>
              <w:rPr>
                <w:sz w:val="20"/>
              </w:rPr>
            </w:pPr>
            <w:r>
              <w:rPr>
                <w:sz w:val="20"/>
              </w:rPr>
              <w:t>cm</w:t>
            </w:r>
          </w:p>
        </w:tc>
        <w:tc>
          <w:tcPr>
            <w:tcW w:w="992" w:type="dxa"/>
            <w:tcBorders>
              <w:left w:val="single" w:sz="4" w:space="0" w:color="000000"/>
            </w:tcBorders>
          </w:tcPr>
          <w:p w:rsidR="00C14782" w:rsidRDefault="002F33BB">
            <w:pPr>
              <w:pStyle w:val="TableParagraph"/>
              <w:spacing w:before="58"/>
              <w:ind w:left="346" w:right="334"/>
              <w:rPr>
                <w:sz w:val="20"/>
              </w:rPr>
            </w:pPr>
            <w:r>
              <w:rPr>
                <w:sz w:val="20"/>
              </w:rPr>
              <w:t>0-3</w:t>
            </w:r>
          </w:p>
        </w:tc>
        <w:tc>
          <w:tcPr>
            <w:tcW w:w="992" w:type="dxa"/>
          </w:tcPr>
          <w:p w:rsidR="00C14782" w:rsidRDefault="002F33BB">
            <w:pPr>
              <w:pStyle w:val="TableParagraph"/>
              <w:spacing w:before="58"/>
              <w:ind w:left="124" w:right="103"/>
              <w:rPr>
                <w:sz w:val="20"/>
              </w:rPr>
            </w:pPr>
            <w:r>
              <w:rPr>
                <w:sz w:val="20"/>
              </w:rPr>
              <w:t>3-10</w:t>
            </w:r>
          </w:p>
        </w:tc>
        <w:tc>
          <w:tcPr>
            <w:tcW w:w="992" w:type="dxa"/>
          </w:tcPr>
          <w:p w:rsidR="00C14782" w:rsidRDefault="002F33BB">
            <w:pPr>
              <w:pStyle w:val="TableParagraph"/>
              <w:spacing w:before="58"/>
              <w:ind w:left="122" w:right="104"/>
              <w:rPr>
                <w:sz w:val="20"/>
              </w:rPr>
            </w:pPr>
            <w:r>
              <w:rPr>
                <w:sz w:val="20"/>
              </w:rPr>
              <w:t>10-30</w:t>
            </w:r>
          </w:p>
        </w:tc>
        <w:tc>
          <w:tcPr>
            <w:tcW w:w="992" w:type="dxa"/>
          </w:tcPr>
          <w:p w:rsidR="00C14782" w:rsidRDefault="002F33BB">
            <w:pPr>
              <w:pStyle w:val="TableParagraph"/>
              <w:spacing w:before="58"/>
              <w:ind w:left="124" w:right="102"/>
              <w:rPr>
                <w:sz w:val="20"/>
              </w:rPr>
            </w:pPr>
            <w:r>
              <w:rPr>
                <w:sz w:val="20"/>
              </w:rPr>
              <w:t>30-100</w:t>
            </w:r>
          </w:p>
        </w:tc>
        <w:tc>
          <w:tcPr>
            <w:tcW w:w="990" w:type="dxa"/>
            <w:tcBorders>
              <w:right w:val="single" w:sz="8" w:space="0" w:color="000000"/>
            </w:tcBorders>
          </w:tcPr>
          <w:p w:rsidR="00C14782" w:rsidRDefault="002F33BB">
            <w:pPr>
              <w:pStyle w:val="TableParagraph"/>
              <w:spacing w:before="58"/>
              <w:ind w:right="270"/>
              <w:jc w:val="right"/>
              <w:rPr>
                <w:sz w:val="20"/>
              </w:rPr>
            </w:pPr>
            <w:r>
              <w:rPr>
                <w:sz w:val="20"/>
              </w:rPr>
              <w:t>&gt;100</w:t>
            </w:r>
          </w:p>
        </w:tc>
      </w:tr>
      <w:tr w:rsidR="00C14782">
        <w:trPr>
          <w:trHeight w:val="354"/>
        </w:trPr>
        <w:tc>
          <w:tcPr>
            <w:tcW w:w="2471" w:type="dxa"/>
            <w:tcBorders>
              <w:left w:val="single" w:sz="8" w:space="0" w:color="000000"/>
            </w:tcBorders>
          </w:tcPr>
          <w:p w:rsidR="00C14782" w:rsidRDefault="002F33BB">
            <w:pPr>
              <w:pStyle w:val="TableParagraph"/>
              <w:spacing w:before="57"/>
              <w:ind w:left="260" w:right="200"/>
              <w:rPr>
                <w:sz w:val="20"/>
              </w:rPr>
            </w:pPr>
            <w:r>
              <w:rPr>
                <w:sz w:val="20"/>
              </w:rPr>
              <w:t>Liquefaction Probability</w:t>
            </w:r>
          </w:p>
        </w:tc>
        <w:tc>
          <w:tcPr>
            <w:tcW w:w="856" w:type="dxa"/>
            <w:tcBorders>
              <w:right w:val="single" w:sz="4" w:space="0" w:color="000000"/>
            </w:tcBorders>
          </w:tcPr>
          <w:p w:rsidR="00C14782" w:rsidRDefault="002F33BB">
            <w:pPr>
              <w:pStyle w:val="TableParagraph"/>
              <w:spacing w:before="57"/>
              <w:ind w:left="87"/>
              <w:rPr>
                <w:sz w:val="20"/>
              </w:rPr>
            </w:pPr>
            <w:r>
              <w:rPr>
                <w:w w:val="99"/>
                <w:sz w:val="20"/>
              </w:rPr>
              <w:t>%</w:t>
            </w:r>
          </w:p>
        </w:tc>
        <w:tc>
          <w:tcPr>
            <w:tcW w:w="992" w:type="dxa"/>
            <w:tcBorders>
              <w:left w:val="single" w:sz="4" w:space="0" w:color="000000"/>
            </w:tcBorders>
          </w:tcPr>
          <w:p w:rsidR="00C14782" w:rsidRDefault="002F33BB">
            <w:pPr>
              <w:pStyle w:val="TableParagraph"/>
              <w:spacing w:before="57"/>
              <w:ind w:left="346" w:right="334"/>
              <w:rPr>
                <w:sz w:val="20"/>
              </w:rPr>
            </w:pPr>
            <w:r>
              <w:rPr>
                <w:sz w:val="20"/>
              </w:rPr>
              <w:t>0-5</w:t>
            </w:r>
          </w:p>
        </w:tc>
        <w:tc>
          <w:tcPr>
            <w:tcW w:w="992" w:type="dxa"/>
          </w:tcPr>
          <w:p w:rsidR="00C14782" w:rsidRDefault="002F33BB">
            <w:pPr>
              <w:pStyle w:val="TableParagraph"/>
              <w:spacing w:before="57"/>
              <w:ind w:left="124" w:right="103"/>
              <w:rPr>
                <w:sz w:val="20"/>
              </w:rPr>
            </w:pPr>
            <w:r>
              <w:rPr>
                <w:sz w:val="20"/>
              </w:rPr>
              <w:t>5-10</w:t>
            </w:r>
          </w:p>
        </w:tc>
        <w:tc>
          <w:tcPr>
            <w:tcW w:w="992" w:type="dxa"/>
          </w:tcPr>
          <w:p w:rsidR="00C14782" w:rsidRDefault="002F33BB">
            <w:pPr>
              <w:pStyle w:val="TableParagraph"/>
              <w:spacing w:before="57"/>
              <w:ind w:left="122" w:right="104"/>
              <w:rPr>
                <w:sz w:val="20"/>
              </w:rPr>
            </w:pPr>
            <w:r>
              <w:rPr>
                <w:sz w:val="20"/>
              </w:rPr>
              <w:t>10-15</w:t>
            </w:r>
          </w:p>
        </w:tc>
        <w:tc>
          <w:tcPr>
            <w:tcW w:w="992" w:type="dxa"/>
          </w:tcPr>
          <w:p w:rsidR="00C14782" w:rsidRDefault="002F33BB">
            <w:pPr>
              <w:pStyle w:val="TableParagraph"/>
              <w:spacing w:before="57"/>
              <w:ind w:left="122" w:right="104"/>
              <w:rPr>
                <w:sz w:val="20"/>
              </w:rPr>
            </w:pPr>
            <w:r>
              <w:rPr>
                <w:sz w:val="20"/>
              </w:rPr>
              <w:t>15-20</w:t>
            </w:r>
          </w:p>
        </w:tc>
        <w:tc>
          <w:tcPr>
            <w:tcW w:w="990" w:type="dxa"/>
            <w:tcBorders>
              <w:right w:val="single" w:sz="8" w:space="0" w:color="000000"/>
            </w:tcBorders>
          </w:tcPr>
          <w:p w:rsidR="00C14782" w:rsidRDefault="002F33BB">
            <w:pPr>
              <w:pStyle w:val="TableParagraph"/>
              <w:spacing w:before="57"/>
              <w:ind w:right="318"/>
              <w:jc w:val="right"/>
              <w:rPr>
                <w:sz w:val="20"/>
              </w:rPr>
            </w:pPr>
            <w:r>
              <w:rPr>
                <w:sz w:val="20"/>
              </w:rPr>
              <w:t>&gt;20</w:t>
            </w:r>
          </w:p>
        </w:tc>
      </w:tr>
      <w:tr w:rsidR="00C14782">
        <w:trPr>
          <w:trHeight w:val="361"/>
        </w:trPr>
        <w:tc>
          <w:tcPr>
            <w:tcW w:w="2471" w:type="dxa"/>
            <w:tcBorders>
              <w:left w:val="single" w:sz="8" w:space="0" w:color="000000"/>
              <w:bottom w:val="single" w:sz="8" w:space="0" w:color="000000"/>
            </w:tcBorders>
          </w:tcPr>
          <w:p w:rsidR="00C14782" w:rsidRDefault="002F33BB">
            <w:pPr>
              <w:pStyle w:val="TableParagraph"/>
              <w:spacing w:before="58"/>
              <w:ind w:left="254" w:right="200"/>
              <w:rPr>
                <w:sz w:val="20"/>
              </w:rPr>
            </w:pPr>
            <w:r>
              <w:rPr>
                <w:sz w:val="20"/>
              </w:rPr>
              <w:t>Lateral Spreading</w:t>
            </w:r>
          </w:p>
        </w:tc>
        <w:tc>
          <w:tcPr>
            <w:tcW w:w="856" w:type="dxa"/>
            <w:tcBorders>
              <w:bottom w:val="single" w:sz="8" w:space="0" w:color="000000"/>
              <w:right w:val="single" w:sz="4" w:space="0" w:color="000000"/>
            </w:tcBorders>
          </w:tcPr>
          <w:p w:rsidR="00C14782" w:rsidRDefault="002F33BB">
            <w:pPr>
              <w:pStyle w:val="TableParagraph"/>
              <w:spacing w:before="58"/>
              <w:ind w:left="222" w:right="131"/>
              <w:rPr>
                <w:sz w:val="20"/>
              </w:rPr>
            </w:pPr>
            <w:r>
              <w:rPr>
                <w:sz w:val="20"/>
              </w:rPr>
              <w:t>cm</w:t>
            </w:r>
          </w:p>
        </w:tc>
        <w:tc>
          <w:tcPr>
            <w:tcW w:w="992" w:type="dxa"/>
            <w:tcBorders>
              <w:left w:val="single" w:sz="4" w:space="0" w:color="000000"/>
              <w:bottom w:val="single" w:sz="8" w:space="0" w:color="000000"/>
            </w:tcBorders>
          </w:tcPr>
          <w:p w:rsidR="00C14782" w:rsidRDefault="002F33BB">
            <w:pPr>
              <w:pStyle w:val="TableParagraph"/>
              <w:spacing w:before="58"/>
              <w:ind w:left="346" w:right="334"/>
              <w:rPr>
                <w:sz w:val="20"/>
              </w:rPr>
            </w:pPr>
            <w:r>
              <w:rPr>
                <w:sz w:val="20"/>
              </w:rPr>
              <w:t>0-3</w:t>
            </w:r>
          </w:p>
        </w:tc>
        <w:tc>
          <w:tcPr>
            <w:tcW w:w="992" w:type="dxa"/>
            <w:tcBorders>
              <w:bottom w:val="single" w:sz="8" w:space="0" w:color="000000"/>
            </w:tcBorders>
          </w:tcPr>
          <w:p w:rsidR="00C14782" w:rsidRDefault="002F33BB">
            <w:pPr>
              <w:pStyle w:val="TableParagraph"/>
              <w:spacing w:before="58"/>
              <w:ind w:left="124" w:right="103"/>
              <w:rPr>
                <w:sz w:val="20"/>
              </w:rPr>
            </w:pPr>
            <w:r>
              <w:rPr>
                <w:sz w:val="20"/>
              </w:rPr>
              <w:t>3-10</w:t>
            </w:r>
          </w:p>
        </w:tc>
        <w:tc>
          <w:tcPr>
            <w:tcW w:w="992" w:type="dxa"/>
            <w:tcBorders>
              <w:bottom w:val="single" w:sz="8" w:space="0" w:color="000000"/>
            </w:tcBorders>
          </w:tcPr>
          <w:p w:rsidR="00C14782" w:rsidRDefault="002F33BB">
            <w:pPr>
              <w:pStyle w:val="TableParagraph"/>
              <w:spacing w:before="58"/>
              <w:ind w:left="122" w:right="104"/>
              <w:rPr>
                <w:sz w:val="20"/>
              </w:rPr>
            </w:pPr>
            <w:r>
              <w:rPr>
                <w:sz w:val="20"/>
              </w:rPr>
              <w:t>10-30</w:t>
            </w:r>
          </w:p>
        </w:tc>
        <w:tc>
          <w:tcPr>
            <w:tcW w:w="992" w:type="dxa"/>
            <w:tcBorders>
              <w:bottom w:val="single" w:sz="8" w:space="0" w:color="000000"/>
            </w:tcBorders>
          </w:tcPr>
          <w:p w:rsidR="00C14782" w:rsidRDefault="002F33BB">
            <w:pPr>
              <w:pStyle w:val="TableParagraph"/>
              <w:spacing w:before="58"/>
              <w:ind w:left="124" w:right="102"/>
              <w:rPr>
                <w:sz w:val="20"/>
              </w:rPr>
            </w:pPr>
            <w:r>
              <w:rPr>
                <w:sz w:val="20"/>
              </w:rPr>
              <w:t>30-100</w:t>
            </w:r>
          </w:p>
        </w:tc>
        <w:tc>
          <w:tcPr>
            <w:tcW w:w="990" w:type="dxa"/>
            <w:tcBorders>
              <w:bottom w:val="single" w:sz="8" w:space="0" w:color="000000"/>
              <w:right w:val="single" w:sz="8" w:space="0" w:color="000000"/>
            </w:tcBorders>
          </w:tcPr>
          <w:p w:rsidR="00C14782" w:rsidRDefault="002F33BB">
            <w:pPr>
              <w:pStyle w:val="TableParagraph"/>
              <w:spacing w:before="58"/>
              <w:ind w:right="270"/>
              <w:jc w:val="right"/>
              <w:rPr>
                <w:sz w:val="20"/>
              </w:rPr>
            </w:pPr>
            <w:r>
              <w:rPr>
                <w:sz w:val="20"/>
              </w:rPr>
              <w:t>&gt;100</w:t>
            </w:r>
          </w:p>
        </w:tc>
      </w:tr>
    </w:tbl>
    <w:p w:rsidR="00C14782" w:rsidRDefault="002F33BB">
      <w:pPr>
        <w:spacing w:before="200"/>
        <w:ind w:left="100"/>
        <w:rPr>
          <w:i/>
        </w:rPr>
      </w:pPr>
      <w:r>
        <w:rPr>
          <w:i/>
          <w:u w:val="single"/>
        </w:rPr>
        <w:t>MultiPoint</w:t>
      </w:r>
      <w:r>
        <w:rPr>
          <w:i/>
          <w:spacing w:val="-11"/>
          <w:u w:val="single"/>
        </w:rPr>
        <w:t xml:space="preserve"> </w:t>
      </w:r>
      <w:r>
        <w:rPr>
          <w:i/>
          <w:u w:val="single"/>
        </w:rPr>
        <w:t>Report</w:t>
      </w:r>
      <w:r>
        <w:rPr>
          <w:i/>
        </w:rPr>
        <w:t xml:space="preserve"> </w:t>
      </w:r>
      <w:r>
        <w:rPr>
          <w:i/>
          <w:noProof/>
          <w:spacing w:val="21"/>
          <w:position w:val="2"/>
        </w:rPr>
        <w:drawing>
          <wp:inline distT="0" distB="0" distL="0" distR="0">
            <wp:extent cx="207168" cy="214312"/>
            <wp:effectExtent l="0" t="0" r="0" b="0"/>
            <wp:docPr id="2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3.png"/>
                    <pic:cNvPicPr/>
                  </pic:nvPicPr>
                  <pic:blipFill>
                    <a:blip r:embed="rId41" cstate="print"/>
                    <a:stretch>
                      <a:fillRect/>
                    </a:stretch>
                  </pic:blipFill>
                  <pic:spPr>
                    <a:xfrm>
                      <a:off x="0" y="0"/>
                      <a:ext cx="207168" cy="214312"/>
                    </a:xfrm>
                    <a:prstGeom prst="rect">
                      <a:avLst/>
                    </a:prstGeom>
                  </pic:spPr>
                </pic:pic>
              </a:graphicData>
            </a:graphic>
          </wp:inline>
        </w:drawing>
      </w:r>
    </w:p>
    <w:p w:rsidR="00C14782" w:rsidRDefault="002F33BB">
      <w:pPr>
        <w:pStyle w:val="BodyText"/>
        <w:spacing w:before="43" w:line="276" w:lineRule="auto"/>
        <w:ind w:left="100" w:right="142"/>
        <w:rPr>
          <w:b/>
        </w:rPr>
      </w:pPr>
      <w:r>
        <w:t>The MultiPoint Report allows the user to iterate report generation on more than one point. Performing the MultiPoint tool, user can click on desired multiple points on the map to extract hazard related information. To add the last point of the multiple points, user needs to double-click on the map. The final report can be downloaded as a CSV file from a pop up window. The CSV download link appears after completion of the report generation (</w:t>
      </w:r>
      <w:hyperlink w:anchor="_bookmark19" w:history="1">
        <w:r>
          <w:t>Figure</w:t>
        </w:r>
      </w:hyperlink>
      <w:r>
        <w:t xml:space="preserve">7). The report includes the following fields on each pinned point: PID, Latitude, Longitude, Elevation(m), Slope(deg), NEHRP Site Class, Geologic Unit, Geology Description, Geology Symbol, Age of Geologic Unit, Modified Mercalli Scale, PGA(g), PGV(cm/s), Short Period Spectral Response(g), One Second Spectral Response(g), Landslide Probability(%), Landslide Displacement(cm), Liquefaction Probability(%), Lateral Spreading(cm). </w:t>
      </w:r>
      <w:r>
        <w:rPr>
          <w:b/>
        </w:rPr>
        <w:t>Note that the MultiPoint Report tool is currently available only in 2D view, so the user needs to switch the view from 3D to 2D before using this tool (see “2. Switch view from 3D to 2D”).</w:t>
      </w:r>
    </w:p>
    <w:p w:rsidR="00C14782" w:rsidRDefault="002F33BB">
      <w:pPr>
        <w:pStyle w:val="BodyText"/>
        <w:rPr>
          <w:b/>
          <w:sz w:val="14"/>
        </w:rPr>
      </w:pPr>
      <w:r>
        <w:rPr>
          <w:noProof/>
        </w:rPr>
        <w:drawing>
          <wp:anchor distT="0" distB="0" distL="0" distR="0" simplePos="0" relativeHeight="22" behindDoc="0" locked="0" layoutInCell="1" allowOverlap="1">
            <wp:simplePos x="0" y="0"/>
            <wp:positionH relativeFrom="page">
              <wp:posOffset>1857375</wp:posOffset>
            </wp:positionH>
            <wp:positionV relativeFrom="paragraph">
              <wp:posOffset>127148</wp:posOffset>
            </wp:positionV>
            <wp:extent cx="4019198" cy="2741485"/>
            <wp:effectExtent l="0" t="0" r="0" b="0"/>
            <wp:wrapTopAndBottom/>
            <wp:docPr id="3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4.jpeg"/>
                    <pic:cNvPicPr/>
                  </pic:nvPicPr>
                  <pic:blipFill>
                    <a:blip r:embed="rId42" cstate="print"/>
                    <a:stretch>
                      <a:fillRect/>
                    </a:stretch>
                  </pic:blipFill>
                  <pic:spPr>
                    <a:xfrm>
                      <a:off x="0" y="0"/>
                      <a:ext cx="4019198" cy="2741485"/>
                    </a:xfrm>
                    <a:prstGeom prst="rect">
                      <a:avLst/>
                    </a:prstGeom>
                  </pic:spPr>
                </pic:pic>
              </a:graphicData>
            </a:graphic>
          </wp:anchor>
        </w:drawing>
      </w:r>
    </w:p>
    <w:p w:rsidR="00C14782" w:rsidRDefault="00C14782">
      <w:pPr>
        <w:pStyle w:val="BodyText"/>
        <w:spacing w:before="1"/>
        <w:rPr>
          <w:b/>
          <w:sz w:val="21"/>
        </w:rPr>
      </w:pPr>
    </w:p>
    <w:p w:rsidR="00C14782" w:rsidRDefault="002F33BB">
      <w:pPr>
        <w:pStyle w:val="Heading2"/>
        <w:spacing w:before="1"/>
        <w:ind w:right="496"/>
        <w:jc w:val="center"/>
      </w:pPr>
      <w:bookmarkStart w:id="20" w:name="_bookmark19"/>
      <w:bookmarkEnd w:id="20"/>
      <w:r>
        <w:t>Figure 7: Example of O-HELP MultiPoint report and final CSV download links</w:t>
      </w:r>
    </w:p>
    <w:p w:rsidR="00C14782" w:rsidRDefault="002F33BB">
      <w:pPr>
        <w:spacing w:before="209"/>
        <w:ind w:left="100"/>
        <w:rPr>
          <w:i/>
        </w:rPr>
      </w:pPr>
      <w:r>
        <w:rPr>
          <w:i/>
          <w:u w:val="single"/>
        </w:rPr>
        <w:t>CSV MultiPoint</w:t>
      </w:r>
      <w:r>
        <w:rPr>
          <w:i/>
          <w:spacing w:val="-11"/>
          <w:u w:val="single"/>
        </w:rPr>
        <w:t xml:space="preserve"> </w:t>
      </w:r>
      <w:r>
        <w:rPr>
          <w:i/>
          <w:u w:val="single"/>
        </w:rPr>
        <w:t>Report</w:t>
      </w:r>
      <w:r>
        <w:rPr>
          <w:i/>
        </w:rPr>
        <w:t xml:space="preserve"> </w:t>
      </w:r>
      <w:r>
        <w:rPr>
          <w:i/>
          <w:noProof/>
          <w:spacing w:val="-3"/>
        </w:rPr>
        <w:drawing>
          <wp:inline distT="0" distB="0" distL="0" distR="0">
            <wp:extent cx="228600" cy="221456"/>
            <wp:effectExtent l="0" t="0" r="0" b="0"/>
            <wp:docPr id="33"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5.jpeg"/>
                    <pic:cNvPicPr/>
                  </pic:nvPicPr>
                  <pic:blipFill>
                    <a:blip r:embed="rId43" cstate="print"/>
                    <a:stretch>
                      <a:fillRect/>
                    </a:stretch>
                  </pic:blipFill>
                  <pic:spPr>
                    <a:xfrm>
                      <a:off x="0" y="0"/>
                      <a:ext cx="228600" cy="221456"/>
                    </a:xfrm>
                    <a:prstGeom prst="rect">
                      <a:avLst/>
                    </a:prstGeom>
                  </pic:spPr>
                </pic:pic>
              </a:graphicData>
            </a:graphic>
          </wp:inline>
        </w:drawing>
      </w:r>
    </w:p>
    <w:p w:rsidR="00C14782" w:rsidRDefault="002F33BB">
      <w:pPr>
        <w:pStyle w:val="BodyText"/>
        <w:spacing w:before="41" w:line="276" w:lineRule="auto"/>
        <w:ind w:left="100" w:right="123"/>
      </w:pPr>
      <w:r>
        <w:t>User can also get MultiPoint Report by submitting a CSV file (</w:t>
      </w:r>
      <w:hyperlink w:anchor="_bookmark20" w:history="1">
        <w:r>
          <w:t>Figure 8</w:t>
        </w:r>
      </w:hyperlink>
      <w:r>
        <w:t>8) of point information that lists the PID, latitude, and longitude of the points. The acceptable file is a comma-delaminated format with the required fields is aforementioned order. After receiving the CSV file, O-HELP will sparse the coordinate</w:t>
      </w:r>
    </w:p>
    <w:p w:rsidR="00C14782" w:rsidRDefault="00C14782">
      <w:pPr>
        <w:spacing w:line="276" w:lineRule="auto"/>
        <w:sectPr w:rsidR="00C14782">
          <w:pgSz w:w="12240" w:h="15840"/>
          <w:pgMar w:top="1360" w:right="1340" w:bottom="1160" w:left="1340" w:header="0" w:footer="973" w:gutter="0"/>
          <w:cols w:space="720"/>
        </w:sectPr>
      </w:pPr>
    </w:p>
    <w:p w:rsidR="00C14782" w:rsidRDefault="002F33BB">
      <w:pPr>
        <w:pStyle w:val="BodyText"/>
        <w:spacing w:before="79" w:line="276" w:lineRule="auto"/>
        <w:ind w:left="100" w:right="147"/>
      </w:pPr>
      <w:r>
        <w:lastRenderedPageBreak/>
        <w:t>values and will extract hazard parameters for each of point and return a new CSV file with hazard information. Similar to MultiPoint Tool, the final report can be downloaded as a CSV file from a pop-up window. The CSV download link appears after completion of the report generation (Figure 7). The report generation time varies based on the number points that report is requested for.</w:t>
      </w:r>
    </w:p>
    <w:p w:rsidR="00C14782" w:rsidRDefault="002F33BB">
      <w:pPr>
        <w:pStyle w:val="BodyText"/>
        <w:spacing w:before="1"/>
        <w:rPr>
          <w:sz w:val="14"/>
        </w:rPr>
      </w:pPr>
      <w:r>
        <w:rPr>
          <w:noProof/>
        </w:rPr>
        <w:drawing>
          <wp:anchor distT="0" distB="0" distL="0" distR="0" simplePos="0" relativeHeight="23" behindDoc="0" locked="0" layoutInCell="1" allowOverlap="1">
            <wp:simplePos x="0" y="0"/>
            <wp:positionH relativeFrom="page">
              <wp:posOffset>3000375</wp:posOffset>
            </wp:positionH>
            <wp:positionV relativeFrom="paragraph">
              <wp:posOffset>127824</wp:posOffset>
            </wp:positionV>
            <wp:extent cx="1771902" cy="1414462"/>
            <wp:effectExtent l="0" t="0" r="0" b="0"/>
            <wp:wrapTopAndBottom/>
            <wp:docPr id="3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6.png"/>
                    <pic:cNvPicPr/>
                  </pic:nvPicPr>
                  <pic:blipFill>
                    <a:blip r:embed="rId44" cstate="print"/>
                    <a:stretch>
                      <a:fillRect/>
                    </a:stretch>
                  </pic:blipFill>
                  <pic:spPr>
                    <a:xfrm>
                      <a:off x="0" y="0"/>
                      <a:ext cx="1771902" cy="1414462"/>
                    </a:xfrm>
                    <a:prstGeom prst="rect">
                      <a:avLst/>
                    </a:prstGeom>
                  </pic:spPr>
                </pic:pic>
              </a:graphicData>
            </a:graphic>
          </wp:anchor>
        </w:drawing>
      </w:r>
    </w:p>
    <w:p w:rsidR="00C14782" w:rsidRDefault="002F33BB">
      <w:pPr>
        <w:pStyle w:val="Heading2"/>
        <w:spacing w:before="199"/>
        <w:ind w:right="497"/>
        <w:jc w:val="center"/>
      </w:pPr>
      <w:bookmarkStart w:id="21" w:name="_bookmark20"/>
      <w:bookmarkEnd w:id="21"/>
      <w:r>
        <w:t>Figure 8: CSV file submission for generating O-HELP MultiPoint report</w:t>
      </w:r>
    </w:p>
    <w:p w:rsidR="00C14782" w:rsidRDefault="00C14782">
      <w:pPr>
        <w:pStyle w:val="BodyText"/>
        <w:spacing w:before="8"/>
        <w:rPr>
          <w:b/>
          <w:sz w:val="26"/>
        </w:rPr>
      </w:pPr>
    </w:p>
    <w:p w:rsidR="00C14782" w:rsidRDefault="002F33BB">
      <w:pPr>
        <w:ind w:left="100"/>
        <w:rPr>
          <w:i/>
        </w:rPr>
      </w:pPr>
      <w:r>
        <w:rPr>
          <w:i/>
          <w:spacing w:val="-1"/>
          <w:u w:val="single"/>
        </w:rPr>
        <w:t>Screenshot</w:t>
      </w:r>
      <w:r>
        <w:rPr>
          <w:i/>
          <w:spacing w:val="-1"/>
        </w:rPr>
        <w:t xml:space="preserve"> </w:t>
      </w:r>
      <w:r>
        <w:rPr>
          <w:i/>
          <w:noProof/>
          <w:spacing w:val="12"/>
          <w:position w:val="1"/>
        </w:rPr>
        <w:drawing>
          <wp:inline distT="0" distB="0" distL="0" distR="0">
            <wp:extent cx="225360" cy="155802"/>
            <wp:effectExtent l="0" t="0" r="0" b="0"/>
            <wp:docPr id="37" name="image37.png" descr="F:\e_drive\2019_OHELP\3D OHELP\images\measure_screenshot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7.png"/>
                    <pic:cNvPicPr/>
                  </pic:nvPicPr>
                  <pic:blipFill>
                    <a:blip r:embed="rId45" cstate="print"/>
                    <a:stretch>
                      <a:fillRect/>
                    </a:stretch>
                  </pic:blipFill>
                  <pic:spPr>
                    <a:xfrm>
                      <a:off x="0" y="0"/>
                      <a:ext cx="225360" cy="155802"/>
                    </a:xfrm>
                    <a:prstGeom prst="rect">
                      <a:avLst/>
                    </a:prstGeom>
                  </pic:spPr>
                </pic:pic>
              </a:graphicData>
            </a:graphic>
          </wp:inline>
        </w:drawing>
      </w:r>
    </w:p>
    <w:p w:rsidR="00C14782" w:rsidRDefault="002F33BB">
      <w:pPr>
        <w:pStyle w:val="BodyText"/>
        <w:spacing w:before="39" w:line="276" w:lineRule="auto"/>
        <w:ind w:left="100" w:right="236"/>
      </w:pPr>
      <w:r>
        <w:t xml:space="preserve">The screenshot button allows the user to export a screenshot of a map </w:t>
      </w:r>
      <w:r>
        <w:rPr>
          <w:spacing w:val="-3"/>
        </w:rPr>
        <w:t xml:space="preserve">to </w:t>
      </w:r>
      <w:r>
        <w:t>enable sharing as an image. Pan and zoom to find an interesting location, then drag and drop the left mouse button to take a screenshot. The screenshot will be displayed. Note that there may be a small delay if the map is still rendering when you</w:t>
      </w:r>
      <w:r>
        <w:rPr>
          <w:spacing w:val="-5"/>
        </w:rPr>
        <w:t xml:space="preserve"> </w:t>
      </w:r>
      <w:r>
        <w:t>push</w:t>
      </w:r>
      <w:r>
        <w:rPr>
          <w:spacing w:val="-4"/>
        </w:rPr>
        <w:t xml:space="preserve"> </w:t>
      </w:r>
      <w:r>
        <w:t>the</w:t>
      </w:r>
      <w:r>
        <w:rPr>
          <w:spacing w:val="-3"/>
        </w:rPr>
        <w:t xml:space="preserve"> </w:t>
      </w:r>
      <w:r>
        <w:t>button.</w:t>
      </w:r>
      <w:r>
        <w:rPr>
          <w:spacing w:val="4"/>
        </w:rPr>
        <w:t xml:space="preserve"> </w:t>
      </w:r>
      <w:r>
        <w:t>The</w:t>
      </w:r>
      <w:r>
        <w:rPr>
          <w:spacing w:val="1"/>
        </w:rPr>
        <w:t xml:space="preserve"> </w:t>
      </w:r>
      <w:r>
        <w:t>user</w:t>
      </w:r>
      <w:r>
        <w:rPr>
          <w:spacing w:val="-3"/>
        </w:rPr>
        <w:t xml:space="preserve"> </w:t>
      </w:r>
      <w:r>
        <w:t>can</w:t>
      </w:r>
      <w:r>
        <w:rPr>
          <w:spacing w:val="-4"/>
        </w:rPr>
        <w:t xml:space="preserve"> </w:t>
      </w:r>
      <w:r>
        <w:t>enter</w:t>
      </w:r>
      <w:r>
        <w:rPr>
          <w:spacing w:val="-3"/>
        </w:rPr>
        <w:t xml:space="preserve"> </w:t>
      </w:r>
      <w:r>
        <w:t>a</w:t>
      </w:r>
      <w:r>
        <w:rPr>
          <w:spacing w:val="-4"/>
        </w:rPr>
        <w:t xml:space="preserve"> </w:t>
      </w:r>
      <w:r>
        <w:t>text</w:t>
      </w:r>
      <w:r>
        <w:rPr>
          <w:spacing w:val="1"/>
        </w:rPr>
        <w:t xml:space="preserve"> </w:t>
      </w:r>
      <w:r>
        <w:t>to be</w:t>
      </w:r>
      <w:r>
        <w:rPr>
          <w:spacing w:val="-4"/>
        </w:rPr>
        <w:t xml:space="preserve"> </w:t>
      </w:r>
      <w:r>
        <w:t>displayed on</w:t>
      </w:r>
      <w:r>
        <w:rPr>
          <w:spacing w:val="-4"/>
        </w:rPr>
        <w:t xml:space="preserve"> </w:t>
      </w:r>
      <w:r>
        <w:t>the</w:t>
      </w:r>
      <w:r>
        <w:rPr>
          <w:spacing w:val="-3"/>
        </w:rPr>
        <w:t xml:space="preserve"> </w:t>
      </w:r>
      <w:r>
        <w:t>image.</w:t>
      </w:r>
      <w:r>
        <w:rPr>
          <w:spacing w:val="-1"/>
        </w:rPr>
        <w:t xml:space="preserve"> </w:t>
      </w:r>
      <w:r>
        <w:t>Then,</w:t>
      </w:r>
      <w:r>
        <w:rPr>
          <w:spacing w:val="-2"/>
        </w:rPr>
        <w:t xml:space="preserve"> </w:t>
      </w:r>
      <w:r>
        <w:t>the</w:t>
      </w:r>
      <w:r>
        <w:rPr>
          <w:spacing w:val="-3"/>
        </w:rPr>
        <w:t xml:space="preserve"> </w:t>
      </w:r>
      <w:r>
        <w:t>user</w:t>
      </w:r>
      <w:r>
        <w:rPr>
          <w:spacing w:val="1"/>
        </w:rPr>
        <w:t xml:space="preserve"> </w:t>
      </w:r>
      <w:r>
        <w:t>can</w:t>
      </w:r>
      <w:r>
        <w:rPr>
          <w:spacing w:val="-4"/>
        </w:rPr>
        <w:t xml:space="preserve"> </w:t>
      </w:r>
      <w:r>
        <w:t>click</w:t>
      </w:r>
      <w:r>
        <w:rPr>
          <w:spacing w:val="-5"/>
        </w:rPr>
        <w:t xml:space="preserve"> </w:t>
      </w:r>
      <w:r>
        <w:t xml:space="preserve">on </w:t>
      </w:r>
      <w:r>
        <w:rPr>
          <w:noProof/>
          <w:position w:val="1"/>
        </w:rPr>
        <w:drawing>
          <wp:inline distT="0" distB="0" distL="0" distR="0">
            <wp:extent cx="631355" cy="184785"/>
            <wp:effectExtent l="0" t="0" r="0" b="0"/>
            <wp:docPr id="3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8.png"/>
                    <pic:cNvPicPr/>
                  </pic:nvPicPr>
                  <pic:blipFill>
                    <a:blip r:embed="rId46" cstate="print"/>
                    <a:stretch>
                      <a:fillRect/>
                    </a:stretch>
                  </pic:blipFill>
                  <pic:spPr>
                    <a:xfrm>
                      <a:off x="0" y="0"/>
                      <a:ext cx="631355" cy="184785"/>
                    </a:xfrm>
                    <a:prstGeom prst="rect">
                      <a:avLst/>
                    </a:prstGeom>
                  </pic:spPr>
                </pic:pic>
              </a:graphicData>
            </a:graphic>
          </wp:inline>
        </w:drawing>
      </w:r>
      <w:r>
        <w:rPr>
          <w:spacing w:val="-1"/>
        </w:rPr>
        <w:t xml:space="preserve"> </w:t>
      </w:r>
      <w:r>
        <w:t xml:space="preserve">to download the image or </w:t>
      </w:r>
      <w:r>
        <w:rPr>
          <w:noProof/>
          <w:spacing w:val="4"/>
          <w:position w:val="1"/>
        </w:rPr>
        <w:drawing>
          <wp:inline distT="0" distB="0" distL="0" distR="0">
            <wp:extent cx="752322" cy="221614"/>
            <wp:effectExtent l="0" t="0" r="0" b="0"/>
            <wp:docPr id="4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9.png"/>
                    <pic:cNvPicPr/>
                  </pic:nvPicPr>
                  <pic:blipFill>
                    <a:blip r:embed="rId47" cstate="print"/>
                    <a:stretch>
                      <a:fillRect/>
                    </a:stretch>
                  </pic:blipFill>
                  <pic:spPr>
                    <a:xfrm>
                      <a:off x="0" y="0"/>
                      <a:ext cx="752322" cy="221614"/>
                    </a:xfrm>
                    <a:prstGeom prst="rect">
                      <a:avLst/>
                    </a:prstGeom>
                  </pic:spPr>
                </pic:pic>
              </a:graphicData>
            </a:graphic>
          </wp:inline>
        </w:drawing>
      </w:r>
      <w:r>
        <w:rPr>
          <w:spacing w:val="-4"/>
        </w:rPr>
        <w:t xml:space="preserve"> </w:t>
      </w:r>
      <w:r>
        <w:t xml:space="preserve">to return to </w:t>
      </w:r>
      <w:proofErr w:type="spellStart"/>
      <w:r>
        <w:t>webscene</w:t>
      </w:r>
      <w:proofErr w:type="spellEnd"/>
      <w:r>
        <w:t xml:space="preserve"> (see Figure</w:t>
      </w:r>
      <w:r>
        <w:rPr>
          <w:spacing w:val="-8"/>
        </w:rPr>
        <w:t xml:space="preserve"> </w:t>
      </w:r>
      <w:r>
        <w:t>9).</w:t>
      </w:r>
    </w:p>
    <w:p w:rsidR="00C14782" w:rsidRDefault="002F33BB">
      <w:pPr>
        <w:pStyle w:val="BodyText"/>
        <w:spacing w:before="10"/>
        <w:rPr>
          <w:sz w:val="12"/>
        </w:rPr>
      </w:pPr>
      <w:r>
        <w:rPr>
          <w:noProof/>
        </w:rPr>
        <w:drawing>
          <wp:anchor distT="0" distB="0" distL="0" distR="0" simplePos="0" relativeHeight="24" behindDoc="0" locked="0" layoutInCell="1" allowOverlap="1">
            <wp:simplePos x="0" y="0"/>
            <wp:positionH relativeFrom="page">
              <wp:posOffset>1600200</wp:posOffset>
            </wp:positionH>
            <wp:positionV relativeFrom="paragraph">
              <wp:posOffset>119332</wp:posOffset>
            </wp:positionV>
            <wp:extent cx="4557242" cy="3196399"/>
            <wp:effectExtent l="0" t="0" r="0" b="0"/>
            <wp:wrapTopAndBottom/>
            <wp:docPr id="43"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0.jpeg"/>
                    <pic:cNvPicPr/>
                  </pic:nvPicPr>
                  <pic:blipFill>
                    <a:blip r:embed="rId48" cstate="print"/>
                    <a:stretch>
                      <a:fillRect/>
                    </a:stretch>
                  </pic:blipFill>
                  <pic:spPr>
                    <a:xfrm>
                      <a:off x="0" y="0"/>
                      <a:ext cx="4557242" cy="3196399"/>
                    </a:xfrm>
                    <a:prstGeom prst="rect">
                      <a:avLst/>
                    </a:prstGeom>
                  </pic:spPr>
                </pic:pic>
              </a:graphicData>
            </a:graphic>
          </wp:anchor>
        </w:drawing>
      </w:r>
    </w:p>
    <w:p w:rsidR="00C14782" w:rsidRDefault="002F33BB">
      <w:pPr>
        <w:pStyle w:val="Heading2"/>
        <w:spacing w:before="225"/>
        <w:ind w:right="494"/>
        <w:jc w:val="center"/>
      </w:pPr>
      <w:r>
        <w:t>Figure 9: Example custom map generated by clicking on the screenshot button.</w:t>
      </w:r>
    </w:p>
    <w:p w:rsidR="00C14782" w:rsidRDefault="00C14782">
      <w:pPr>
        <w:jc w:val="center"/>
        <w:sectPr w:rsidR="00C14782">
          <w:pgSz w:w="12240" w:h="15840"/>
          <w:pgMar w:top="1360" w:right="1340" w:bottom="1160" w:left="1340" w:header="0" w:footer="973" w:gutter="0"/>
          <w:cols w:space="720"/>
        </w:sectPr>
      </w:pPr>
    </w:p>
    <w:p w:rsidR="00C14782" w:rsidRDefault="002F33BB">
      <w:pPr>
        <w:pStyle w:val="ListParagraph"/>
        <w:numPr>
          <w:ilvl w:val="0"/>
          <w:numId w:val="9"/>
        </w:numPr>
        <w:tabs>
          <w:tab w:val="left" w:pos="325"/>
        </w:tabs>
        <w:spacing w:before="155"/>
        <w:ind w:hanging="225"/>
        <w:rPr>
          <w:b/>
        </w:rPr>
      </w:pPr>
      <w:r>
        <w:lastRenderedPageBreak/>
        <w:pict>
          <v:group id="_x0000_s1050" style="position:absolute;left:0;text-align:left;margin-left:150.95pt;margin-top:0;width:18pt;height:18pt;z-index:251688960;mso-position-horizontal-relative:page" coordorigin="3019" coordsize="360,360">
            <v:shape id="_x0000_s1052" type="#_x0000_t75" style="position:absolute;left:3019;top:-1;width:360;height:360">
              <v:imagedata r:id="rId13" o:title=""/>
            </v:shape>
            <v:shape id="_x0000_s1051" type="#_x0000_t75" style="position:absolute;left:3072;top:51;width:256;height:256">
              <v:imagedata r:id="rId16" o:title=""/>
            </v:shape>
            <w10:wrap anchorx="page"/>
          </v:group>
        </w:pict>
      </w:r>
      <w:bookmarkStart w:id="22" w:name="_bookmark21"/>
      <w:bookmarkEnd w:id="22"/>
      <w:r>
        <w:rPr>
          <w:b/>
        </w:rPr>
        <w:t>Measure</w:t>
      </w:r>
      <w:r>
        <w:rPr>
          <w:b/>
          <w:spacing w:val="-1"/>
        </w:rPr>
        <w:t xml:space="preserve"> </w:t>
      </w:r>
      <w:r>
        <w:rPr>
          <w:b/>
        </w:rPr>
        <w:t>Tool</w:t>
      </w:r>
    </w:p>
    <w:p w:rsidR="00C14782" w:rsidRDefault="002F33BB">
      <w:pPr>
        <w:pStyle w:val="BodyText"/>
        <w:spacing w:before="39" w:line="276" w:lineRule="auto"/>
        <w:ind w:left="100" w:right="617"/>
      </w:pPr>
      <w:r>
        <w:t xml:space="preserve">By clicking on the measurement tool button, a box will be shown (see </w:t>
      </w:r>
      <w:hyperlink w:anchor="_bookmark22" w:history="1">
        <w:r>
          <w:t>Figure</w:t>
        </w:r>
      </w:hyperlink>
      <w:r>
        <w:t>0) which gives the user ability to select a line or polygon for measurement.</w:t>
      </w:r>
    </w:p>
    <w:p w:rsidR="00C14782" w:rsidRDefault="002F33BB">
      <w:pPr>
        <w:pStyle w:val="BodyText"/>
        <w:spacing w:before="3"/>
        <w:rPr>
          <w:sz w:val="14"/>
        </w:rPr>
      </w:pPr>
      <w:r>
        <w:rPr>
          <w:noProof/>
        </w:rPr>
        <w:drawing>
          <wp:anchor distT="0" distB="0" distL="0" distR="0" simplePos="0" relativeHeight="25" behindDoc="0" locked="0" layoutInCell="1" allowOverlap="1">
            <wp:simplePos x="0" y="0"/>
            <wp:positionH relativeFrom="page">
              <wp:posOffset>3181350</wp:posOffset>
            </wp:positionH>
            <wp:positionV relativeFrom="paragraph">
              <wp:posOffset>129013</wp:posOffset>
            </wp:positionV>
            <wp:extent cx="1395883" cy="454723"/>
            <wp:effectExtent l="0" t="0" r="0" b="0"/>
            <wp:wrapTopAndBottom/>
            <wp:docPr id="4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1.png"/>
                    <pic:cNvPicPr/>
                  </pic:nvPicPr>
                  <pic:blipFill>
                    <a:blip r:embed="rId49" cstate="print"/>
                    <a:stretch>
                      <a:fillRect/>
                    </a:stretch>
                  </pic:blipFill>
                  <pic:spPr>
                    <a:xfrm>
                      <a:off x="0" y="0"/>
                      <a:ext cx="1395883" cy="454723"/>
                    </a:xfrm>
                    <a:prstGeom prst="rect">
                      <a:avLst/>
                    </a:prstGeom>
                  </pic:spPr>
                </pic:pic>
              </a:graphicData>
            </a:graphic>
          </wp:anchor>
        </w:drawing>
      </w:r>
    </w:p>
    <w:p w:rsidR="00C14782" w:rsidRDefault="002F33BB">
      <w:pPr>
        <w:pStyle w:val="Heading2"/>
        <w:spacing w:before="210"/>
        <w:ind w:right="497"/>
        <w:jc w:val="center"/>
      </w:pPr>
      <w:bookmarkStart w:id="23" w:name="_bookmark22"/>
      <w:bookmarkEnd w:id="23"/>
      <w:r>
        <w:t>Figure 10: Measurement tool box and dimensions of the current selection.</w:t>
      </w:r>
    </w:p>
    <w:p w:rsidR="00C14782" w:rsidRDefault="00C14782">
      <w:pPr>
        <w:pStyle w:val="BodyText"/>
        <w:spacing w:before="8"/>
        <w:rPr>
          <w:b/>
          <w:sz w:val="33"/>
        </w:rPr>
      </w:pPr>
    </w:p>
    <w:p w:rsidR="00C14782" w:rsidRDefault="002F33BB">
      <w:pPr>
        <w:ind w:left="100"/>
        <w:rPr>
          <w:i/>
        </w:rPr>
      </w:pPr>
      <w:r>
        <w:pict>
          <v:group id="_x0000_s1047" style="position:absolute;left:0;text-align:left;margin-left:138.05pt;margin-top:-8.25pt;width:19.55pt;height:17.9pt;z-index:251685888;mso-position-horizontal-relative:page" coordorigin="2761,-165" coordsize="391,358">
            <v:shape id="_x0000_s1049" type="#_x0000_t75" style="position:absolute;left:2862;top:-73;width:198;height:174">
              <v:imagedata r:id="rId50" o:title=""/>
            </v:shape>
            <v:rect id="_x0000_s1048" style="position:absolute;left:2766;top:-160;width:381;height:348" filled="f" strokecolor="#7e7e7e" strokeweight=".5pt"/>
            <w10:wrap anchorx="page"/>
          </v:group>
        </w:pict>
      </w:r>
      <w:r>
        <w:rPr>
          <w:i/>
          <w:u w:val="single"/>
        </w:rPr>
        <w:t>Line Segment</w:t>
      </w:r>
    </w:p>
    <w:p w:rsidR="00C14782" w:rsidRDefault="002F33BB">
      <w:pPr>
        <w:pStyle w:val="BodyText"/>
        <w:spacing w:before="39"/>
        <w:ind w:left="100"/>
      </w:pPr>
      <w:r>
        <w:t>The first option inside the measure tool is the line segment button. It will display a new measurement tool</w:t>
      </w:r>
    </w:p>
    <w:p w:rsidR="00C14782" w:rsidRDefault="002F33BB">
      <w:pPr>
        <w:pStyle w:val="BodyText"/>
        <w:spacing w:before="53" w:line="273" w:lineRule="auto"/>
        <w:ind w:left="100" w:right="262"/>
      </w:pPr>
      <w:r>
        <w:rPr>
          <w:spacing w:val="-1"/>
        </w:rPr>
        <w:t xml:space="preserve">button.  </w:t>
      </w:r>
      <w:r>
        <w:rPr>
          <w:noProof/>
          <w:spacing w:val="18"/>
          <w:position w:val="2"/>
        </w:rPr>
        <w:drawing>
          <wp:inline distT="0" distB="0" distL="0" distR="0">
            <wp:extent cx="1385440" cy="164207"/>
            <wp:effectExtent l="0" t="0" r="0" b="0"/>
            <wp:docPr id="4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3.png"/>
                    <pic:cNvPicPr/>
                  </pic:nvPicPr>
                  <pic:blipFill>
                    <a:blip r:embed="rId51" cstate="print"/>
                    <a:stretch>
                      <a:fillRect/>
                    </a:stretch>
                  </pic:blipFill>
                  <pic:spPr>
                    <a:xfrm>
                      <a:off x="0" y="0"/>
                      <a:ext cx="1385440" cy="164207"/>
                    </a:xfrm>
                    <a:prstGeom prst="rect">
                      <a:avLst/>
                    </a:prstGeom>
                  </pic:spPr>
                </pic:pic>
              </a:graphicData>
            </a:graphic>
          </wp:inline>
        </w:drawing>
      </w:r>
      <w:r>
        <w:rPr>
          <w:spacing w:val="10"/>
        </w:rPr>
        <w:t xml:space="preserve"> </w:t>
      </w:r>
      <w:r>
        <w:t>(Figure 11). By clicking on this button, the user has the ability to left click on various points on the map in 2D or 3D and draw a series of line segments. A double left click will stop drawing the lines. The cumulative length of the line segments is shown in various desired units (e.g., feet, meters, and</w:t>
      </w:r>
      <w:r>
        <w:rPr>
          <w:spacing w:val="8"/>
        </w:rPr>
        <w:t xml:space="preserve"> </w:t>
      </w:r>
      <w:r>
        <w:t>miles).</w:t>
      </w:r>
    </w:p>
    <w:p w:rsidR="00C14782" w:rsidRDefault="002F33BB">
      <w:pPr>
        <w:pStyle w:val="BodyText"/>
        <w:spacing w:before="2"/>
        <w:rPr>
          <w:sz w:val="15"/>
        </w:rPr>
      </w:pPr>
      <w:r>
        <w:rPr>
          <w:noProof/>
        </w:rPr>
        <w:drawing>
          <wp:anchor distT="0" distB="0" distL="0" distR="0" simplePos="0" relativeHeight="26" behindDoc="0" locked="0" layoutInCell="1" allowOverlap="1">
            <wp:simplePos x="0" y="0"/>
            <wp:positionH relativeFrom="page">
              <wp:posOffset>1600200</wp:posOffset>
            </wp:positionH>
            <wp:positionV relativeFrom="paragraph">
              <wp:posOffset>135814</wp:posOffset>
            </wp:positionV>
            <wp:extent cx="4534140" cy="2912078"/>
            <wp:effectExtent l="0" t="0" r="0" b="0"/>
            <wp:wrapTopAndBottom/>
            <wp:docPr id="49"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4.jpeg"/>
                    <pic:cNvPicPr/>
                  </pic:nvPicPr>
                  <pic:blipFill>
                    <a:blip r:embed="rId52" cstate="print"/>
                    <a:stretch>
                      <a:fillRect/>
                    </a:stretch>
                  </pic:blipFill>
                  <pic:spPr>
                    <a:xfrm>
                      <a:off x="0" y="0"/>
                      <a:ext cx="4534140" cy="2912078"/>
                    </a:xfrm>
                    <a:prstGeom prst="rect">
                      <a:avLst/>
                    </a:prstGeom>
                  </pic:spPr>
                </pic:pic>
              </a:graphicData>
            </a:graphic>
          </wp:anchor>
        </w:drawing>
      </w:r>
    </w:p>
    <w:p w:rsidR="00C14782" w:rsidRDefault="00C14782">
      <w:pPr>
        <w:pStyle w:val="BodyText"/>
        <w:spacing w:before="4"/>
        <w:rPr>
          <w:sz w:val="21"/>
        </w:rPr>
      </w:pPr>
    </w:p>
    <w:p w:rsidR="00C14782" w:rsidRDefault="002F33BB">
      <w:pPr>
        <w:pStyle w:val="Heading2"/>
        <w:ind w:right="497"/>
        <w:jc w:val="center"/>
      </w:pPr>
      <w:r>
        <w:t>Figure 11. Line measurement tool</w:t>
      </w:r>
    </w:p>
    <w:p w:rsidR="00C14782" w:rsidRDefault="00C14782">
      <w:pPr>
        <w:pStyle w:val="BodyText"/>
        <w:spacing w:before="8"/>
        <w:rPr>
          <w:b/>
          <w:sz w:val="33"/>
        </w:rPr>
      </w:pPr>
    </w:p>
    <w:p w:rsidR="00C14782" w:rsidRDefault="002F33BB">
      <w:pPr>
        <w:ind w:left="100"/>
        <w:rPr>
          <w:i/>
        </w:rPr>
      </w:pPr>
      <w:r>
        <w:pict>
          <v:group id="_x0000_s1044" style="position:absolute;left:0;text-align:left;margin-left:112.4pt;margin-top:-8.35pt;width:17.9pt;height:17.15pt;z-index:251686912;mso-position-horizontal-relative:page" coordorigin="2248,-167" coordsize="358,343">
            <v:shape id="_x0000_s1046" type="#_x0000_t75" style="position:absolute;left:2342;top:-81;width:185;height:185">
              <v:imagedata r:id="rId53" o:title=""/>
            </v:shape>
            <v:rect id="_x0000_s1045" style="position:absolute;left:2253;top:-163;width:348;height:333" filled="f" strokecolor="#7e7e7e" strokeweight=".5pt"/>
            <w10:wrap anchorx="page"/>
          </v:group>
        </w:pict>
      </w:r>
      <w:r>
        <w:rPr>
          <w:noProof/>
        </w:rPr>
        <w:drawing>
          <wp:anchor distT="0" distB="0" distL="0" distR="0" simplePos="0" relativeHeight="251687936" behindDoc="0" locked="0" layoutInCell="1" allowOverlap="1">
            <wp:simplePos x="0" y="0"/>
            <wp:positionH relativeFrom="page">
              <wp:posOffset>5091659</wp:posOffset>
            </wp:positionH>
            <wp:positionV relativeFrom="paragraph">
              <wp:posOffset>194592</wp:posOffset>
            </wp:positionV>
            <wp:extent cx="1385440" cy="163109"/>
            <wp:effectExtent l="0" t="0" r="0" b="0"/>
            <wp:wrapNone/>
            <wp:docPr id="51"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3.png"/>
                    <pic:cNvPicPr/>
                  </pic:nvPicPr>
                  <pic:blipFill>
                    <a:blip r:embed="rId51" cstate="print"/>
                    <a:stretch>
                      <a:fillRect/>
                    </a:stretch>
                  </pic:blipFill>
                  <pic:spPr>
                    <a:xfrm>
                      <a:off x="0" y="0"/>
                      <a:ext cx="1385440" cy="163109"/>
                    </a:xfrm>
                    <a:prstGeom prst="rect">
                      <a:avLst/>
                    </a:prstGeom>
                  </pic:spPr>
                </pic:pic>
              </a:graphicData>
            </a:graphic>
          </wp:anchor>
        </w:drawing>
      </w:r>
      <w:r>
        <w:rPr>
          <w:i/>
          <w:u w:val="single"/>
        </w:rPr>
        <w:t>Polygon</w:t>
      </w:r>
    </w:p>
    <w:p w:rsidR="00C14782" w:rsidRDefault="002F33BB">
      <w:pPr>
        <w:pStyle w:val="BodyText"/>
        <w:spacing w:before="131"/>
        <w:ind w:left="100"/>
      </w:pPr>
      <w:r>
        <w:t>Similar to the line segment, it will display a new measurement tool button</w:t>
      </w:r>
    </w:p>
    <w:p w:rsidR="00C14782" w:rsidRDefault="002F33BB">
      <w:pPr>
        <w:pStyle w:val="BodyText"/>
        <w:spacing w:before="39" w:line="276" w:lineRule="auto"/>
        <w:ind w:left="100" w:right="178"/>
      </w:pPr>
      <w:r>
        <w:t>(Figure 12). This button will calculate the area inside a defined polygon, which is drawn by the user by clicking on various points on the map in 2D or 3D. The same procedure is applied to select the points on the map (left click for choosing corner points and double left click for closing the polygon). The area of the polygon is shown in various desired units (e.g., feet, meters, and miles).</w:t>
      </w:r>
    </w:p>
    <w:p w:rsidR="00C14782" w:rsidRDefault="00C14782">
      <w:pPr>
        <w:spacing w:line="276" w:lineRule="auto"/>
        <w:sectPr w:rsidR="00C14782">
          <w:pgSz w:w="12240" w:h="15840"/>
          <w:pgMar w:top="1440" w:right="1340" w:bottom="1160" w:left="1340" w:header="0" w:footer="973" w:gutter="0"/>
          <w:cols w:space="720"/>
        </w:sectPr>
      </w:pPr>
    </w:p>
    <w:p w:rsidR="00C14782" w:rsidRDefault="002F33BB">
      <w:pPr>
        <w:pStyle w:val="BodyText"/>
        <w:ind w:left="1180"/>
        <w:rPr>
          <w:sz w:val="20"/>
        </w:rPr>
      </w:pPr>
      <w:r>
        <w:rPr>
          <w:noProof/>
          <w:sz w:val="20"/>
        </w:rPr>
        <w:lastRenderedPageBreak/>
        <w:drawing>
          <wp:inline distT="0" distB="0" distL="0" distR="0">
            <wp:extent cx="4525821" cy="2916174"/>
            <wp:effectExtent l="0" t="0" r="0" b="0"/>
            <wp:docPr id="53"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6.jpeg"/>
                    <pic:cNvPicPr/>
                  </pic:nvPicPr>
                  <pic:blipFill>
                    <a:blip r:embed="rId54" cstate="print"/>
                    <a:stretch>
                      <a:fillRect/>
                    </a:stretch>
                  </pic:blipFill>
                  <pic:spPr>
                    <a:xfrm>
                      <a:off x="0" y="0"/>
                      <a:ext cx="4525821" cy="2916174"/>
                    </a:xfrm>
                    <a:prstGeom prst="rect">
                      <a:avLst/>
                    </a:prstGeom>
                  </pic:spPr>
                </pic:pic>
              </a:graphicData>
            </a:graphic>
          </wp:inline>
        </w:drawing>
      </w:r>
    </w:p>
    <w:p w:rsidR="00C14782" w:rsidRDefault="00C14782">
      <w:pPr>
        <w:pStyle w:val="BodyText"/>
        <w:spacing w:before="8"/>
        <w:rPr>
          <w:sz w:val="17"/>
        </w:rPr>
      </w:pPr>
    </w:p>
    <w:p w:rsidR="00C14782" w:rsidRDefault="002F33BB">
      <w:pPr>
        <w:pStyle w:val="Heading2"/>
        <w:spacing w:before="91"/>
        <w:ind w:right="493"/>
        <w:jc w:val="center"/>
      </w:pPr>
      <w:r>
        <w:t>Figure 12. Area measurement tool</w:t>
      </w:r>
    </w:p>
    <w:p w:rsidR="00C14782" w:rsidRDefault="00C14782">
      <w:pPr>
        <w:pStyle w:val="BodyText"/>
        <w:spacing w:before="6"/>
        <w:rPr>
          <w:b/>
          <w:sz w:val="30"/>
        </w:rPr>
      </w:pPr>
    </w:p>
    <w:p w:rsidR="00C14782" w:rsidRDefault="002F33BB">
      <w:pPr>
        <w:ind w:left="100"/>
        <w:rPr>
          <w:i/>
        </w:rPr>
      </w:pPr>
      <w:r>
        <w:pict>
          <v:group id="_x0000_s1041" style="position:absolute;left:0;text-align:left;margin-left:131.65pt;margin-top:-6.55pt;width:16.3pt;height:15.9pt;z-index:251689984;mso-position-horizontal-relative:page" coordorigin="2633,-131" coordsize="326,318">
            <v:shape id="_x0000_s1043" type="#_x0000_t75" style="position:absolute;left:2752;top:-20;width:110;height:110">
              <v:imagedata r:id="rId55" o:title=""/>
            </v:shape>
            <v:rect id="_x0000_s1042" style="position:absolute;left:2638;top:-126;width:316;height:308" filled="f" strokecolor="#7e7e7e" strokeweight=".5pt"/>
            <w10:wrap anchorx="page"/>
          </v:group>
        </w:pict>
      </w:r>
      <w:r>
        <w:rPr>
          <w:i/>
          <w:u w:val="single"/>
        </w:rPr>
        <w:t>Clear button</w:t>
      </w:r>
    </w:p>
    <w:p w:rsidR="00C14782" w:rsidRDefault="002F33BB">
      <w:pPr>
        <w:pStyle w:val="BodyText"/>
        <w:spacing w:before="44"/>
        <w:ind w:left="100"/>
      </w:pPr>
      <w:r>
        <w:t>This button will clear the lines or polygons which were previously drawn on the map.</w:t>
      </w:r>
    </w:p>
    <w:p w:rsidR="00C14782" w:rsidRDefault="00C14782">
      <w:pPr>
        <w:pStyle w:val="BodyText"/>
        <w:rPr>
          <w:sz w:val="34"/>
        </w:rPr>
      </w:pPr>
    </w:p>
    <w:p w:rsidR="00C14782" w:rsidRDefault="002F33BB">
      <w:pPr>
        <w:pStyle w:val="Heading2"/>
        <w:numPr>
          <w:ilvl w:val="0"/>
          <w:numId w:val="9"/>
        </w:numPr>
        <w:tabs>
          <w:tab w:val="left" w:pos="433"/>
        </w:tabs>
        <w:ind w:left="432" w:hanging="333"/>
      </w:pPr>
      <w:r>
        <w:pict>
          <v:group id="_x0000_s1038" style="position:absolute;left:0;text-align:left;margin-left:147.15pt;margin-top:-7.75pt;width:18pt;height:18pt;z-index:251691008;mso-position-horizontal-relative:page" coordorigin="2943,-155" coordsize="360,360">
            <v:shape id="_x0000_s1040" type="#_x0000_t75" style="position:absolute;left:2943;top:-156;width:360;height:360">
              <v:imagedata r:id="rId13" o:title=""/>
            </v:shape>
            <v:shape id="_x0000_s1039" type="#_x0000_t75" style="position:absolute;left:2996;top:-90;width:256;height:237">
              <v:imagedata r:id="rId17" o:title=""/>
            </v:shape>
            <w10:wrap anchorx="page"/>
          </v:group>
        </w:pict>
      </w:r>
      <w:bookmarkStart w:id="24" w:name="_bookmark23"/>
      <w:bookmarkEnd w:id="24"/>
      <w:r>
        <w:t>Eraser</w:t>
      </w:r>
      <w:r>
        <w:rPr>
          <w:spacing w:val="-1"/>
        </w:rPr>
        <w:t xml:space="preserve"> </w:t>
      </w:r>
      <w:r>
        <w:t>Tool</w:t>
      </w:r>
    </w:p>
    <w:p w:rsidR="00C14782" w:rsidRDefault="002F33BB">
      <w:pPr>
        <w:pStyle w:val="BodyText"/>
        <w:spacing w:before="43" w:line="273" w:lineRule="auto"/>
        <w:ind w:left="100" w:right="415"/>
      </w:pPr>
      <w:r>
        <w:t>This button will clear all added layers, points, lines, polygons, or popup windows previously loaded or drawn on the map.</w:t>
      </w:r>
    </w:p>
    <w:p w:rsidR="00C14782" w:rsidRDefault="002F33BB">
      <w:pPr>
        <w:pStyle w:val="Heading2"/>
        <w:numPr>
          <w:ilvl w:val="0"/>
          <w:numId w:val="9"/>
        </w:numPr>
        <w:tabs>
          <w:tab w:val="left" w:pos="433"/>
        </w:tabs>
        <w:spacing w:before="207"/>
        <w:ind w:left="432" w:hanging="333"/>
      </w:pPr>
      <w:bookmarkStart w:id="25" w:name="_bookmark24"/>
      <w:bookmarkEnd w:id="25"/>
      <w:r>
        <w:t>User</w:t>
      </w:r>
      <w:r>
        <w:rPr>
          <w:spacing w:val="-2"/>
        </w:rPr>
        <w:t xml:space="preserve"> </w:t>
      </w:r>
      <w:r>
        <w:t>Help</w:t>
      </w:r>
    </w:p>
    <w:p w:rsidR="00C14782" w:rsidRDefault="002F33BB">
      <w:pPr>
        <w:pStyle w:val="BodyText"/>
        <w:spacing w:before="35" w:line="405" w:lineRule="auto"/>
        <w:ind w:left="100" w:right="2989"/>
      </w:pPr>
      <w:r>
        <w:t xml:space="preserve">Clicking on </w:t>
      </w:r>
      <w:r>
        <w:rPr>
          <w:noProof/>
          <w:spacing w:val="11"/>
          <w:position w:val="2"/>
        </w:rPr>
        <w:drawing>
          <wp:inline distT="0" distB="0" distL="0" distR="0">
            <wp:extent cx="177338" cy="176845"/>
            <wp:effectExtent l="0" t="0" r="0" b="0"/>
            <wp:docPr id="55" name="image48.png" descr="F:\e_drive\2019_OHELP\3D OHELP\images\movie-ico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8.png"/>
                    <pic:cNvPicPr/>
                  </pic:nvPicPr>
                  <pic:blipFill>
                    <a:blip r:embed="rId56" cstate="print"/>
                    <a:stretch>
                      <a:fillRect/>
                    </a:stretch>
                  </pic:blipFill>
                  <pic:spPr>
                    <a:xfrm>
                      <a:off x="0" y="0"/>
                      <a:ext cx="177338" cy="176845"/>
                    </a:xfrm>
                    <a:prstGeom prst="rect">
                      <a:avLst/>
                    </a:prstGeom>
                  </pic:spPr>
                </pic:pic>
              </a:graphicData>
            </a:graphic>
          </wp:inline>
        </w:drawing>
      </w:r>
      <w:r>
        <w:rPr>
          <w:spacing w:val="3"/>
        </w:rPr>
        <w:t xml:space="preserve"> </w:t>
      </w:r>
      <w:r>
        <w:t xml:space="preserve">provides a link to the O-HELP 3D video tutorial. Clicking on </w:t>
      </w:r>
      <w:r>
        <w:rPr>
          <w:noProof/>
          <w:spacing w:val="11"/>
          <w:position w:val="2"/>
        </w:rPr>
        <w:drawing>
          <wp:inline distT="0" distB="0" distL="0" distR="0">
            <wp:extent cx="177338" cy="177338"/>
            <wp:effectExtent l="0" t="0" r="0" b="0"/>
            <wp:docPr id="57" name="image49.png" descr="F:\e_drive\2019_OHELP\3D OHELP\images\tool_rep-ico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9.png"/>
                    <pic:cNvPicPr/>
                  </pic:nvPicPr>
                  <pic:blipFill>
                    <a:blip r:embed="rId57" cstate="print"/>
                    <a:stretch>
                      <a:fillRect/>
                    </a:stretch>
                  </pic:blipFill>
                  <pic:spPr>
                    <a:xfrm>
                      <a:off x="0" y="0"/>
                      <a:ext cx="177338" cy="177338"/>
                    </a:xfrm>
                    <a:prstGeom prst="rect">
                      <a:avLst/>
                    </a:prstGeom>
                  </pic:spPr>
                </pic:pic>
              </a:graphicData>
            </a:graphic>
          </wp:inline>
        </w:drawing>
      </w:r>
      <w:r>
        <w:rPr>
          <w:spacing w:val="3"/>
        </w:rPr>
        <w:t xml:space="preserve"> </w:t>
      </w:r>
      <w:r>
        <w:t>provides a link to the O-HELP 3D tool</w:t>
      </w:r>
      <w:r>
        <w:rPr>
          <w:spacing w:val="-19"/>
        </w:rPr>
        <w:t xml:space="preserve"> </w:t>
      </w:r>
      <w:r>
        <w:t>repository.</w:t>
      </w:r>
    </w:p>
    <w:p w:rsidR="00C14782" w:rsidRDefault="002F33BB">
      <w:pPr>
        <w:pStyle w:val="BodyText"/>
        <w:spacing w:before="95"/>
        <w:ind w:left="100"/>
      </w:pPr>
      <w:r>
        <w:t xml:space="preserve">Clicking on </w:t>
      </w:r>
      <w:r>
        <w:rPr>
          <w:noProof/>
          <w:spacing w:val="11"/>
          <w:position w:val="2"/>
        </w:rPr>
        <w:drawing>
          <wp:inline distT="0" distB="0" distL="0" distR="0">
            <wp:extent cx="177338" cy="176229"/>
            <wp:effectExtent l="0" t="0" r="0" b="0"/>
            <wp:docPr id="59" name="image50.png" descr="F:\e_drive\2019_OHELP\3D OHELP\images\help-icon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0.png"/>
                    <pic:cNvPicPr/>
                  </pic:nvPicPr>
                  <pic:blipFill>
                    <a:blip r:embed="rId58" cstate="print"/>
                    <a:stretch>
                      <a:fillRect/>
                    </a:stretch>
                  </pic:blipFill>
                  <pic:spPr>
                    <a:xfrm>
                      <a:off x="0" y="0"/>
                      <a:ext cx="177338" cy="176229"/>
                    </a:xfrm>
                    <a:prstGeom prst="rect">
                      <a:avLst/>
                    </a:prstGeom>
                  </pic:spPr>
                </pic:pic>
              </a:graphicData>
            </a:graphic>
          </wp:inline>
        </w:drawing>
      </w:r>
      <w:r>
        <w:rPr>
          <w:spacing w:val="3"/>
        </w:rPr>
        <w:t xml:space="preserve"> </w:t>
      </w:r>
      <w:r>
        <w:t>provides a link to the O-HELP 3D user manual</w:t>
      </w:r>
      <w:r>
        <w:rPr>
          <w:spacing w:val="-1"/>
        </w:rPr>
        <w:t xml:space="preserve"> </w:t>
      </w:r>
      <w:r>
        <w:t>document.</w:t>
      </w:r>
    </w:p>
    <w:p w:rsidR="00C14782" w:rsidRDefault="002F33BB">
      <w:pPr>
        <w:pStyle w:val="BodyText"/>
        <w:spacing w:before="238" w:line="264" w:lineRule="auto"/>
        <w:ind w:left="100" w:right="119"/>
      </w:pPr>
      <w:r>
        <w:t xml:space="preserve">Clicking on </w:t>
      </w:r>
      <w:r>
        <w:rPr>
          <w:noProof/>
          <w:spacing w:val="3"/>
        </w:rPr>
        <w:drawing>
          <wp:inline distT="0" distB="0" distL="0" distR="0">
            <wp:extent cx="208279" cy="208153"/>
            <wp:effectExtent l="0" t="0" r="0" b="0"/>
            <wp:docPr id="6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1.png"/>
                    <pic:cNvPicPr/>
                  </pic:nvPicPr>
                  <pic:blipFill>
                    <a:blip r:embed="rId59" cstate="print"/>
                    <a:stretch>
                      <a:fillRect/>
                    </a:stretch>
                  </pic:blipFill>
                  <pic:spPr>
                    <a:xfrm>
                      <a:off x="0" y="0"/>
                      <a:ext cx="208279" cy="208153"/>
                    </a:xfrm>
                    <a:prstGeom prst="rect">
                      <a:avLst/>
                    </a:prstGeom>
                  </pic:spPr>
                </pic:pic>
              </a:graphicData>
            </a:graphic>
          </wp:inline>
        </w:drawing>
      </w:r>
      <w:r>
        <w:rPr>
          <w:spacing w:val="-1"/>
        </w:rPr>
        <w:t xml:space="preserve"> </w:t>
      </w:r>
      <w:r>
        <w:t>provides a link to the Sharifi-Mood (2017) which describes how many of the layers in O- HELP were</w:t>
      </w:r>
      <w:r>
        <w:rPr>
          <w:spacing w:val="1"/>
        </w:rPr>
        <w:t xml:space="preserve"> </w:t>
      </w:r>
      <w:r>
        <w:t>created.</w:t>
      </w:r>
    </w:p>
    <w:p w:rsidR="00C14782" w:rsidRDefault="00C14782">
      <w:pPr>
        <w:pStyle w:val="BodyText"/>
        <w:spacing w:before="3"/>
        <w:rPr>
          <w:sz w:val="19"/>
        </w:rPr>
      </w:pPr>
    </w:p>
    <w:p w:rsidR="00C14782" w:rsidRDefault="002F33BB">
      <w:pPr>
        <w:pStyle w:val="Heading1"/>
      </w:pPr>
      <w:bookmarkStart w:id="26" w:name="_bookmark25"/>
      <w:bookmarkEnd w:id="26"/>
      <w:r>
        <w:t>LAYER CONTROL OPTION</w:t>
      </w:r>
    </w:p>
    <w:p w:rsidR="00C14782" w:rsidRDefault="002F33BB">
      <w:pPr>
        <w:pStyle w:val="BodyText"/>
        <w:spacing w:before="39" w:line="276" w:lineRule="auto"/>
        <w:ind w:left="100" w:right="221"/>
      </w:pPr>
      <w:r>
        <w:t>Three icons which control the various data layers are presented in the upper right portion of the O-HELP 3D website. Each selectable icon is discussed below.</w:t>
      </w:r>
    </w:p>
    <w:p w:rsidR="00C14782" w:rsidRDefault="002F33BB">
      <w:pPr>
        <w:pStyle w:val="Heading2"/>
        <w:numPr>
          <w:ilvl w:val="0"/>
          <w:numId w:val="8"/>
        </w:numPr>
        <w:tabs>
          <w:tab w:val="left" w:pos="325"/>
        </w:tabs>
        <w:spacing w:before="198"/>
        <w:ind w:hanging="225"/>
      </w:pPr>
      <w:bookmarkStart w:id="27" w:name="_bookmark26"/>
      <w:bookmarkEnd w:id="27"/>
      <w:r>
        <w:t>General Site Info</w:t>
      </w:r>
      <w:r>
        <w:rPr>
          <w:spacing w:val="-13"/>
        </w:rPr>
        <w:t xml:space="preserve"> </w:t>
      </w:r>
      <w:r>
        <w:t xml:space="preserve">Tab </w:t>
      </w:r>
      <w:r>
        <w:rPr>
          <w:noProof/>
          <w:spacing w:val="-2"/>
        </w:rPr>
        <w:drawing>
          <wp:inline distT="0" distB="0" distL="0" distR="0">
            <wp:extent cx="255905" cy="255905"/>
            <wp:effectExtent l="0" t="0" r="0" b="0"/>
            <wp:docPr id="63" name="image12.png" descr="G:\CODE\O-HELP2\images\Gene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2.png"/>
                    <pic:cNvPicPr/>
                  </pic:nvPicPr>
                  <pic:blipFill>
                    <a:blip r:embed="rId18" cstate="print"/>
                    <a:stretch>
                      <a:fillRect/>
                    </a:stretch>
                  </pic:blipFill>
                  <pic:spPr>
                    <a:xfrm>
                      <a:off x="0" y="0"/>
                      <a:ext cx="255905" cy="255905"/>
                    </a:xfrm>
                    <a:prstGeom prst="rect">
                      <a:avLst/>
                    </a:prstGeom>
                  </pic:spPr>
                </pic:pic>
              </a:graphicData>
            </a:graphic>
          </wp:inline>
        </w:drawing>
      </w:r>
    </w:p>
    <w:p w:rsidR="00C14782" w:rsidRDefault="002F33BB">
      <w:pPr>
        <w:pStyle w:val="BodyText"/>
        <w:spacing w:before="39" w:line="276" w:lineRule="auto"/>
        <w:ind w:left="100"/>
      </w:pPr>
      <w:r>
        <w:t xml:space="preserve">Selecting this icon creates a box of headers that allow the user to access several data layers of general site information. The headers are: Elevation Model, Geology, Site Class, data streamed from the SLIDO database (version 3.2), Transportation, </w:t>
      </w:r>
      <w:proofErr w:type="spellStart"/>
      <w:r>
        <w:t>Drillhole</w:t>
      </w:r>
      <w:proofErr w:type="spellEnd"/>
      <w:r>
        <w:t xml:space="preserve"> Database, Bridges and Highways, </w:t>
      </w:r>
      <w:proofErr w:type="spellStart"/>
      <w:r>
        <w:t>Hillshade</w:t>
      </w:r>
      <w:proofErr w:type="spellEnd"/>
      <w:r>
        <w:t>, and 3D</w:t>
      </w:r>
    </w:p>
    <w:p w:rsidR="00C14782" w:rsidRDefault="00C14782">
      <w:pPr>
        <w:spacing w:line="276" w:lineRule="auto"/>
        <w:sectPr w:rsidR="00C14782">
          <w:pgSz w:w="12240" w:h="15840"/>
          <w:pgMar w:top="1440" w:right="1340" w:bottom="1160" w:left="1340" w:header="0" w:footer="973" w:gutter="0"/>
          <w:cols w:space="720"/>
        </w:sectPr>
      </w:pPr>
    </w:p>
    <w:p w:rsidR="00C14782" w:rsidRDefault="002F33BB">
      <w:pPr>
        <w:pStyle w:val="BodyText"/>
        <w:spacing w:before="79" w:line="278" w:lineRule="auto"/>
        <w:ind w:left="100"/>
      </w:pPr>
      <w:r>
        <w:lastRenderedPageBreak/>
        <w:t>Portland. Selecting a header will then allow the user to select and view various data layers, as defined below, by clicking on a radio or checkbox button.</w:t>
      </w:r>
    </w:p>
    <w:p w:rsidR="00C14782" w:rsidRDefault="002F33BB">
      <w:pPr>
        <w:pStyle w:val="BodyText"/>
        <w:spacing w:before="10"/>
        <w:rPr>
          <w:sz w:val="14"/>
        </w:rPr>
      </w:pPr>
      <w:r>
        <w:pict>
          <v:group id="_x0000_s1035" style="position:absolute;margin-left:234.75pt;margin-top:10.55pt;width:143.2pt;height:161.85pt;z-index:-251624448;mso-wrap-distance-left:0;mso-wrap-distance-right:0;mso-position-horizontal-relative:page" coordorigin="4695,211" coordsize="2864,3237">
            <v:shape id="_x0000_s1037" type="#_x0000_t75" style="position:absolute;left:4710;top:225;width:2834;height:3207">
              <v:imagedata r:id="rId60" o:title=""/>
            </v:shape>
            <v:rect id="_x0000_s1036" style="position:absolute;left:4702;top:218;width:2849;height:3222" filled="f"/>
            <w10:wrap type="topAndBottom" anchorx="page"/>
          </v:group>
        </w:pict>
      </w:r>
    </w:p>
    <w:p w:rsidR="00C14782" w:rsidRDefault="00C14782">
      <w:pPr>
        <w:pStyle w:val="BodyText"/>
        <w:spacing w:before="6"/>
        <w:rPr>
          <w:sz w:val="19"/>
        </w:rPr>
      </w:pPr>
    </w:p>
    <w:p w:rsidR="00C14782" w:rsidRDefault="002F33BB">
      <w:pPr>
        <w:ind w:left="100"/>
        <w:rPr>
          <w:i/>
        </w:rPr>
      </w:pPr>
      <w:r>
        <w:rPr>
          <w:i/>
          <w:u w:val="single"/>
        </w:rPr>
        <w:t>Topography</w:t>
      </w:r>
    </w:p>
    <w:p w:rsidR="00C14782" w:rsidRDefault="002F33BB">
      <w:pPr>
        <w:pStyle w:val="ListParagraph"/>
        <w:numPr>
          <w:ilvl w:val="1"/>
          <w:numId w:val="8"/>
        </w:numPr>
        <w:tabs>
          <w:tab w:val="left" w:pos="820"/>
          <w:tab w:val="left" w:pos="821"/>
        </w:tabs>
        <w:spacing w:before="29" w:line="276" w:lineRule="auto"/>
        <w:ind w:right="273"/>
      </w:pPr>
      <w:r>
        <w:rPr>
          <w:b/>
          <w:i/>
        </w:rPr>
        <w:t>Elevation</w:t>
      </w:r>
      <w:r>
        <w:rPr>
          <w:b/>
          <w:i/>
          <w:spacing w:val="-2"/>
        </w:rPr>
        <w:t xml:space="preserve"> </w:t>
      </w:r>
      <w:r>
        <w:rPr>
          <w:b/>
          <w:i/>
        </w:rPr>
        <w:t>Model</w:t>
      </w:r>
      <w:r>
        <w:rPr>
          <w:b/>
          <w:i/>
          <w:spacing w:val="-4"/>
        </w:rPr>
        <w:t xml:space="preserve"> </w:t>
      </w:r>
      <w:r>
        <w:rPr>
          <w:b/>
          <w:i/>
        </w:rPr>
        <w:t>(30m):</w:t>
      </w:r>
      <w:r>
        <w:rPr>
          <w:b/>
          <w:i/>
          <w:spacing w:val="-4"/>
        </w:rPr>
        <w:t xml:space="preserve"> </w:t>
      </w:r>
      <w:r>
        <w:t>a</w:t>
      </w:r>
      <w:r>
        <w:rPr>
          <w:spacing w:val="-5"/>
        </w:rPr>
        <w:t xml:space="preserve"> </w:t>
      </w:r>
      <w:r>
        <w:t>raster</w:t>
      </w:r>
      <w:r>
        <w:rPr>
          <w:spacing w:val="-4"/>
        </w:rPr>
        <w:t xml:space="preserve"> </w:t>
      </w:r>
      <w:r>
        <w:t>hybrid</w:t>
      </w:r>
      <w:r>
        <w:rPr>
          <w:spacing w:val="-1"/>
        </w:rPr>
        <w:t xml:space="preserve"> </w:t>
      </w:r>
      <w:r>
        <w:t>digital</w:t>
      </w:r>
      <w:r>
        <w:rPr>
          <w:spacing w:val="-5"/>
        </w:rPr>
        <w:t xml:space="preserve"> </w:t>
      </w:r>
      <w:r>
        <w:t>elevation</w:t>
      </w:r>
      <w:r>
        <w:rPr>
          <w:spacing w:val="-5"/>
        </w:rPr>
        <w:t xml:space="preserve"> </w:t>
      </w:r>
      <w:r>
        <w:t>model</w:t>
      </w:r>
      <w:r>
        <w:rPr>
          <w:spacing w:val="-4"/>
        </w:rPr>
        <w:t xml:space="preserve"> </w:t>
      </w:r>
      <w:r>
        <w:t>(DEM)</w:t>
      </w:r>
      <w:r>
        <w:rPr>
          <w:spacing w:val="-3"/>
        </w:rPr>
        <w:t xml:space="preserve"> </w:t>
      </w:r>
      <w:r>
        <w:t>which</w:t>
      </w:r>
      <w:r>
        <w:rPr>
          <w:spacing w:val="-5"/>
        </w:rPr>
        <w:t xml:space="preserve"> </w:t>
      </w:r>
      <w:r>
        <w:t>combines</w:t>
      </w:r>
      <w:r>
        <w:rPr>
          <w:spacing w:val="-5"/>
        </w:rPr>
        <w:t xml:space="preserve"> </w:t>
      </w:r>
      <w:r>
        <w:t>1</w:t>
      </w:r>
      <w:r>
        <w:rPr>
          <w:spacing w:val="-1"/>
        </w:rPr>
        <w:t xml:space="preserve"> </w:t>
      </w:r>
      <w:r>
        <w:t>meter lidar data from the Oregon Lidar Consortium where available with 10 meter resolution USGS National Elevation Dataset (NED) data elsewhere. The data were then resampled using bilinear interpolation to a 30 m cell size to balance file size with level of detail. The NED data was obtained from at the USGS at</w:t>
      </w:r>
      <w:r>
        <w:rPr>
          <w:color w:val="0000FF"/>
        </w:rPr>
        <w:t xml:space="preserve"> </w:t>
      </w:r>
      <w:hyperlink r:id="rId61">
        <w:r>
          <w:rPr>
            <w:color w:val="0000FF"/>
            <w:u w:val="single" w:color="0000FF"/>
          </w:rPr>
          <w:t>http://ned.usgs.gov/</w:t>
        </w:r>
        <w:r>
          <w:t xml:space="preserve">. </w:t>
        </w:r>
      </w:hyperlink>
      <w:r>
        <w:t>More information about the lidar data can be found at:</w:t>
      </w:r>
      <w:hyperlink r:id="rId62">
        <w:r>
          <w:rPr>
            <w:color w:val="0000FF"/>
            <w:spacing w:val="1"/>
          </w:rPr>
          <w:t xml:space="preserve"> </w:t>
        </w:r>
        <w:r>
          <w:rPr>
            <w:color w:val="0000FF"/>
            <w:u w:val="single" w:color="0000FF"/>
          </w:rPr>
          <w:t>http://www.oregongeology.org/sub/projects/olc/</w:t>
        </w:r>
        <w:r>
          <w:t>.</w:t>
        </w:r>
      </w:hyperlink>
    </w:p>
    <w:p w:rsidR="00C14782" w:rsidRDefault="002F33BB">
      <w:pPr>
        <w:pStyle w:val="ListParagraph"/>
        <w:numPr>
          <w:ilvl w:val="1"/>
          <w:numId w:val="8"/>
        </w:numPr>
        <w:tabs>
          <w:tab w:val="left" w:pos="820"/>
          <w:tab w:val="left" w:pos="821"/>
        </w:tabs>
        <w:spacing w:line="266" w:lineRule="auto"/>
        <w:ind w:right="719"/>
      </w:pPr>
      <w:r>
        <w:rPr>
          <w:b/>
          <w:i/>
        </w:rPr>
        <w:t>OLC</w:t>
      </w:r>
      <w:r>
        <w:rPr>
          <w:b/>
          <w:i/>
          <w:spacing w:val="-3"/>
        </w:rPr>
        <w:t xml:space="preserve"> </w:t>
      </w:r>
      <w:proofErr w:type="spellStart"/>
      <w:r>
        <w:rPr>
          <w:b/>
          <w:i/>
        </w:rPr>
        <w:t>Hillshade</w:t>
      </w:r>
      <w:proofErr w:type="spellEnd"/>
      <w:r>
        <w:rPr>
          <w:b/>
          <w:i/>
        </w:rPr>
        <w:t>:</w:t>
      </w:r>
      <w:r>
        <w:rPr>
          <w:b/>
          <w:i/>
          <w:spacing w:val="-3"/>
        </w:rPr>
        <w:t xml:space="preserve"> </w:t>
      </w:r>
      <w:r>
        <w:t>a</w:t>
      </w:r>
      <w:r>
        <w:rPr>
          <w:spacing w:val="-4"/>
        </w:rPr>
        <w:t xml:space="preserve"> </w:t>
      </w:r>
      <w:r>
        <w:t>raster</w:t>
      </w:r>
      <w:r>
        <w:rPr>
          <w:spacing w:val="-4"/>
        </w:rPr>
        <w:t xml:space="preserve"> </w:t>
      </w:r>
      <w:proofErr w:type="spellStart"/>
      <w:r>
        <w:t>hillshade</w:t>
      </w:r>
      <w:proofErr w:type="spellEnd"/>
      <w:r>
        <w:rPr>
          <w:spacing w:val="-3"/>
        </w:rPr>
        <w:t xml:space="preserve"> </w:t>
      </w:r>
      <w:r>
        <w:t>derived</w:t>
      </w:r>
      <w:r>
        <w:rPr>
          <w:spacing w:val="-2"/>
        </w:rPr>
        <w:t xml:space="preserve"> </w:t>
      </w:r>
      <w:r>
        <w:t>from</w:t>
      </w:r>
      <w:r>
        <w:rPr>
          <w:spacing w:val="-2"/>
        </w:rPr>
        <w:t xml:space="preserve"> </w:t>
      </w:r>
      <w:r>
        <w:t>a</w:t>
      </w:r>
      <w:r>
        <w:rPr>
          <w:spacing w:val="-4"/>
        </w:rPr>
        <w:t xml:space="preserve"> </w:t>
      </w:r>
      <w:r>
        <w:t>lidar</w:t>
      </w:r>
      <w:r>
        <w:rPr>
          <w:spacing w:val="-4"/>
        </w:rPr>
        <w:t xml:space="preserve"> </w:t>
      </w:r>
      <w:r>
        <w:t>DEM</w:t>
      </w:r>
      <w:r>
        <w:rPr>
          <w:spacing w:val="-2"/>
        </w:rPr>
        <w:t xml:space="preserve"> </w:t>
      </w:r>
      <w:r>
        <w:t>provided</w:t>
      </w:r>
      <w:r>
        <w:rPr>
          <w:spacing w:val="-5"/>
        </w:rPr>
        <w:t xml:space="preserve"> </w:t>
      </w:r>
      <w:r>
        <w:t>by</w:t>
      </w:r>
      <w:r>
        <w:rPr>
          <w:spacing w:val="-4"/>
        </w:rPr>
        <w:t xml:space="preserve"> </w:t>
      </w:r>
      <w:r>
        <w:t>the</w:t>
      </w:r>
      <w:r>
        <w:rPr>
          <w:spacing w:val="-4"/>
        </w:rPr>
        <w:t xml:space="preserve"> </w:t>
      </w:r>
      <w:r>
        <w:t>Oregon</w:t>
      </w:r>
      <w:r>
        <w:rPr>
          <w:spacing w:val="-5"/>
        </w:rPr>
        <w:t xml:space="preserve"> </w:t>
      </w:r>
      <w:r>
        <w:t>Lidar Consortium.</w:t>
      </w:r>
    </w:p>
    <w:p w:rsidR="00C14782" w:rsidRDefault="002F33BB">
      <w:pPr>
        <w:spacing w:before="199"/>
        <w:ind w:left="100"/>
        <w:rPr>
          <w:i/>
        </w:rPr>
      </w:pPr>
      <w:r>
        <w:rPr>
          <w:i/>
          <w:u w:val="single"/>
        </w:rPr>
        <w:t>Geology</w:t>
      </w:r>
    </w:p>
    <w:p w:rsidR="00C14782" w:rsidRDefault="002F33BB">
      <w:pPr>
        <w:pStyle w:val="ListParagraph"/>
        <w:numPr>
          <w:ilvl w:val="1"/>
          <w:numId w:val="8"/>
        </w:numPr>
        <w:tabs>
          <w:tab w:val="left" w:pos="821"/>
        </w:tabs>
        <w:spacing w:before="29" w:line="273" w:lineRule="auto"/>
        <w:ind w:right="215"/>
        <w:jc w:val="both"/>
      </w:pPr>
      <w:r>
        <w:rPr>
          <w:b/>
          <w:i/>
        </w:rPr>
        <w:t xml:space="preserve">Site Geology: </w:t>
      </w:r>
      <w:r>
        <w:t>a vector polygon feature layer depicting general site geology in Oregon, compiled by DOGAMI and made available through the Oregon Geologic Data Compilation (OGDC) v5.0. This file was downloaded at</w:t>
      </w:r>
      <w:r>
        <w:rPr>
          <w:color w:val="0000FF"/>
        </w:rPr>
        <w:t xml:space="preserve"> </w:t>
      </w:r>
      <w:hyperlink r:id="rId63">
        <w:r>
          <w:rPr>
            <w:color w:val="0000FF"/>
            <w:u w:val="single" w:color="0000FF"/>
          </w:rPr>
          <w:t>http://www.oregongeology.org/sub/ogdc/</w:t>
        </w:r>
        <w:r>
          <w:rPr>
            <w:color w:val="0000FF"/>
          </w:rPr>
          <w:t xml:space="preserve"> </w:t>
        </w:r>
      </w:hyperlink>
      <w:r>
        <w:t>on March 22,</w:t>
      </w:r>
      <w:r>
        <w:rPr>
          <w:spacing w:val="-17"/>
        </w:rPr>
        <w:t xml:space="preserve"> </w:t>
      </w:r>
      <w:r>
        <w:t>2014.</w:t>
      </w:r>
    </w:p>
    <w:p w:rsidR="00C14782" w:rsidRDefault="002F33BB">
      <w:pPr>
        <w:pStyle w:val="ListParagraph"/>
        <w:numPr>
          <w:ilvl w:val="1"/>
          <w:numId w:val="8"/>
        </w:numPr>
        <w:tabs>
          <w:tab w:val="left" w:pos="820"/>
          <w:tab w:val="left" w:pos="821"/>
        </w:tabs>
        <w:spacing w:line="271" w:lineRule="auto"/>
        <w:ind w:right="159"/>
      </w:pPr>
      <w:r>
        <w:rPr>
          <w:b/>
          <w:i/>
        </w:rPr>
        <w:t>Quaternary</w:t>
      </w:r>
      <w:r>
        <w:rPr>
          <w:b/>
          <w:i/>
          <w:spacing w:val="-4"/>
        </w:rPr>
        <w:t xml:space="preserve"> </w:t>
      </w:r>
      <w:r>
        <w:rPr>
          <w:b/>
          <w:i/>
        </w:rPr>
        <w:t>Fault:</w:t>
      </w:r>
      <w:r>
        <w:rPr>
          <w:b/>
          <w:i/>
          <w:spacing w:val="-5"/>
        </w:rPr>
        <w:t xml:space="preserve"> </w:t>
      </w:r>
      <w:r>
        <w:t>a</w:t>
      </w:r>
      <w:r>
        <w:rPr>
          <w:spacing w:val="-5"/>
        </w:rPr>
        <w:t xml:space="preserve"> </w:t>
      </w:r>
      <w:r>
        <w:t>vector</w:t>
      </w:r>
      <w:r>
        <w:rPr>
          <w:spacing w:val="-5"/>
        </w:rPr>
        <w:t xml:space="preserve"> </w:t>
      </w:r>
      <w:r>
        <w:t>polyline</w:t>
      </w:r>
      <w:r>
        <w:rPr>
          <w:spacing w:val="-5"/>
        </w:rPr>
        <w:t xml:space="preserve"> </w:t>
      </w:r>
      <w:r>
        <w:t>feature</w:t>
      </w:r>
      <w:r>
        <w:rPr>
          <w:spacing w:val="-5"/>
        </w:rPr>
        <w:t xml:space="preserve"> </w:t>
      </w:r>
      <w:r>
        <w:t>layer</w:t>
      </w:r>
      <w:r>
        <w:rPr>
          <w:spacing w:val="-5"/>
        </w:rPr>
        <w:t xml:space="preserve"> </w:t>
      </w:r>
      <w:r>
        <w:t>depicting</w:t>
      </w:r>
      <w:r>
        <w:rPr>
          <w:spacing w:val="-6"/>
        </w:rPr>
        <w:t xml:space="preserve"> </w:t>
      </w:r>
      <w:r>
        <w:t>mapped</w:t>
      </w:r>
      <w:r>
        <w:rPr>
          <w:spacing w:val="-2"/>
        </w:rPr>
        <w:t xml:space="preserve"> </w:t>
      </w:r>
      <w:r>
        <w:t>quaternary</w:t>
      </w:r>
      <w:r>
        <w:rPr>
          <w:spacing w:val="-6"/>
        </w:rPr>
        <w:t xml:space="preserve"> </w:t>
      </w:r>
      <w:r>
        <w:t>(i.e.</w:t>
      </w:r>
      <w:r>
        <w:rPr>
          <w:spacing w:val="-3"/>
        </w:rPr>
        <w:t xml:space="preserve"> </w:t>
      </w:r>
      <w:r>
        <w:t>active)</w:t>
      </w:r>
      <w:r>
        <w:rPr>
          <w:spacing w:val="-5"/>
        </w:rPr>
        <w:t xml:space="preserve"> </w:t>
      </w:r>
      <w:r>
        <w:t>faults of the last 1,600,000 years (USGS, 2006). This file was downloaded from the USGS at</w:t>
      </w:r>
      <w:hyperlink r:id="rId64">
        <w:r>
          <w:rPr>
            <w:color w:val="0000FF"/>
            <w:u w:val="single" w:color="0000FF"/>
          </w:rPr>
          <w:t xml:space="preserve"> http://earthquakes.usgs.gov/regional/qfaults/</w:t>
        </w:r>
        <w:r>
          <w:rPr>
            <w:color w:val="0000FF"/>
          </w:rPr>
          <w:t xml:space="preserve"> </w:t>
        </w:r>
      </w:hyperlink>
      <w:r>
        <w:t>on March 4,</w:t>
      </w:r>
      <w:r>
        <w:rPr>
          <w:spacing w:val="-4"/>
        </w:rPr>
        <w:t xml:space="preserve"> </w:t>
      </w:r>
      <w:r>
        <w:t>2014.</w:t>
      </w:r>
    </w:p>
    <w:p w:rsidR="00C14782" w:rsidRDefault="00C14782">
      <w:pPr>
        <w:pStyle w:val="BodyText"/>
        <w:spacing w:before="4"/>
        <w:rPr>
          <w:sz w:val="9"/>
        </w:rPr>
      </w:pPr>
    </w:p>
    <w:p w:rsidR="00C14782" w:rsidRDefault="002F33BB">
      <w:pPr>
        <w:spacing w:before="90"/>
        <w:ind w:left="100"/>
        <w:rPr>
          <w:i/>
        </w:rPr>
      </w:pPr>
      <w:r>
        <w:rPr>
          <w:i/>
          <w:u w:val="single"/>
        </w:rPr>
        <w:t>Site Class</w:t>
      </w:r>
    </w:p>
    <w:p w:rsidR="00C14782" w:rsidRDefault="002F33BB">
      <w:pPr>
        <w:pStyle w:val="ListParagraph"/>
        <w:numPr>
          <w:ilvl w:val="1"/>
          <w:numId w:val="8"/>
        </w:numPr>
        <w:tabs>
          <w:tab w:val="left" w:pos="820"/>
          <w:tab w:val="left" w:pos="821"/>
        </w:tabs>
        <w:spacing w:before="30" w:line="273" w:lineRule="auto"/>
        <w:ind w:right="152"/>
      </w:pPr>
      <w:r>
        <w:rPr>
          <w:b/>
          <w:i/>
        </w:rPr>
        <w:t>NEHRP:</w:t>
      </w:r>
      <w:r>
        <w:rPr>
          <w:b/>
          <w:i/>
          <w:spacing w:val="-2"/>
        </w:rPr>
        <w:t xml:space="preserve"> </w:t>
      </w:r>
      <w:r>
        <w:t>a</w:t>
      </w:r>
      <w:r>
        <w:rPr>
          <w:spacing w:val="-4"/>
        </w:rPr>
        <w:t xml:space="preserve"> </w:t>
      </w:r>
      <w:r>
        <w:t>vector</w:t>
      </w:r>
      <w:r>
        <w:rPr>
          <w:spacing w:val="-4"/>
        </w:rPr>
        <w:t xml:space="preserve"> </w:t>
      </w:r>
      <w:r>
        <w:t>polygon</w:t>
      </w:r>
      <w:r>
        <w:rPr>
          <w:spacing w:val="-5"/>
        </w:rPr>
        <w:t xml:space="preserve"> </w:t>
      </w:r>
      <w:r>
        <w:t>feature</w:t>
      </w:r>
      <w:r>
        <w:rPr>
          <w:spacing w:val="-4"/>
        </w:rPr>
        <w:t xml:space="preserve"> </w:t>
      </w:r>
      <w:r>
        <w:t>depicting</w:t>
      </w:r>
      <w:r>
        <w:rPr>
          <w:spacing w:val="-5"/>
        </w:rPr>
        <w:t xml:space="preserve"> </w:t>
      </w:r>
      <w:r>
        <w:t>soil</w:t>
      </w:r>
      <w:r>
        <w:rPr>
          <w:spacing w:val="-3"/>
        </w:rPr>
        <w:t xml:space="preserve"> </w:t>
      </w:r>
      <w:r>
        <w:t>site</w:t>
      </w:r>
      <w:r>
        <w:rPr>
          <w:spacing w:val="-4"/>
        </w:rPr>
        <w:t xml:space="preserve"> </w:t>
      </w:r>
      <w:r>
        <w:t>class,</w:t>
      </w:r>
      <w:r>
        <w:rPr>
          <w:spacing w:val="-2"/>
        </w:rPr>
        <w:t xml:space="preserve"> </w:t>
      </w:r>
      <w:r>
        <w:t>as</w:t>
      </w:r>
      <w:r>
        <w:rPr>
          <w:spacing w:val="-4"/>
        </w:rPr>
        <w:t xml:space="preserve"> </w:t>
      </w:r>
      <w:r>
        <w:t>defined</w:t>
      </w:r>
      <w:r>
        <w:rPr>
          <w:spacing w:val="-1"/>
        </w:rPr>
        <w:t xml:space="preserve"> </w:t>
      </w:r>
      <w:r>
        <w:t>by</w:t>
      </w:r>
      <w:r>
        <w:rPr>
          <w:spacing w:val="-5"/>
        </w:rPr>
        <w:t xml:space="preserve"> </w:t>
      </w:r>
      <w:r>
        <w:t>the</w:t>
      </w:r>
      <w:r>
        <w:rPr>
          <w:spacing w:val="-4"/>
        </w:rPr>
        <w:t xml:space="preserve"> </w:t>
      </w:r>
      <w:r>
        <w:t>National</w:t>
      </w:r>
      <w:r>
        <w:rPr>
          <w:spacing w:val="-3"/>
        </w:rPr>
        <w:t xml:space="preserve"> </w:t>
      </w:r>
      <w:r>
        <w:t>Earthquake Hazard Reduction Program (NEHRP). These data were produced by DOGAMI and published as part of the Oregon Resilience Plan (OSSPAC, 2013). Table 2 gives the profile type for each soil site class</w:t>
      </w:r>
      <w:r>
        <w:rPr>
          <w:spacing w:val="-4"/>
        </w:rPr>
        <w:t xml:space="preserve"> </w:t>
      </w:r>
      <w:r>
        <w:t>according</w:t>
      </w:r>
      <w:r>
        <w:rPr>
          <w:spacing w:val="-4"/>
        </w:rPr>
        <w:t xml:space="preserve"> </w:t>
      </w:r>
      <w:r>
        <w:t>to</w:t>
      </w:r>
      <w:r>
        <w:rPr>
          <w:spacing w:val="-1"/>
        </w:rPr>
        <w:t xml:space="preserve"> </w:t>
      </w:r>
      <w:r>
        <w:t>the</w:t>
      </w:r>
      <w:r>
        <w:rPr>
          <w:spacing w:val="-3"/>
        </w:rPr>
        <w:t xml:space="preserve"> </w:t>
      </w:r>
      <w:r>
        <w:t>average</w:t>
      </w:r>
      <w:r>
        <w:rPr>
          <w:spacing w:val="-4"/>
        </w:rPr>
        <w:t xml:space="preserve"> </w:t>
      </w:r>
      <w:r>
        <w:t>shear</w:t>
      </w:r>
      <w:r>
        <w:rPr>
          <w:spacing w:val="-3"/>
        </w:rPr>
        <w:t xml:space="preserve"> </w:t>
      </w:r>
      <w:r>
        <w:t>wave velocity</w:t>
      </w:r>
      <w:r>
        <w:rPr>
          <w:spacing w:val="-4"/>
        </w:rPr>
        <w:t xml:space="preserve"> </w:t>
      </w:r>
      <w:r>
        <w:t>in</w:t>
      </w:r>
      <w:r>
        <w:rPr>
          <w:spacing w:val="-5"/>
        </w:rPr>
        <w:t xml:space="preserve"> </w:t>
      </w:r>
      <w:r>
        <w:t>the</w:t>
      </w:r>
      <w:r>
        <w:rPr>
          <w:spacing w:val="-3"/>
        </w:rPr>
        <w:t xml:space="preserve"> </w:t>
      </w:r>
      <w:r>
        <w:t>upper</w:t>
      </w:r>
      <w:r>
        <w:rPr>
          <w:spacing w:val="-4"/>
        </w:rPr>
        <w:t xml:space="preserve"> </w:t>
      </w:r>
      <w:r>
        <w:t>30 meters</w:t>
      </w:r>
      <w:r>
        <w:rPr>
          <w:spacing w:val="-4"/>
        </w:rPr>
        <w:t xml:space="preserve"> </w:t>
      </w:r>
      <w:r>
        <w:t>of the</w:t>
      </w:r>
      <w:r>
        <w:rPr>
          <w:spacing w:val="-3"/>
        </w:rPr>
        <w:t xml:space="preserve"> </w:t>
      </w:r>
      <w:r>
        <w:t>site</w:t>
      </w:r>
      <w:r>
        <w:rPr>
          <w:spacing w:val="-4"/>
        </w:rPr>
        <w:t xml:space="preserve"> </w:t>
      </w:r>
      <w:r>
        <w:t>profile.</w:t>
      </w:r>
    </w:p>
    <w:p w:rsidR="00C14782" w:rsidRDefault="00C14782">
      <w:pPr>
        <w:spacing w:line="273" w:lineRule="auto"/>
        <w:sectPr w:rsidR="00C14782">
          <w:pgSz w:w="12240" w:h="15840"/>
          <w:pgMar w:top="1360" w:right="1340" w:bottom="1160" w:left="1340" w:header="0" w:footer="973" w:gutter="0"/>
          <w:cols w:space="720"/>
        </w:sectPr>
      </w:pPr>
    </w:p>
    <w:p w:rsidR="00C14782" w:rsidRDefault="002F33BB">
      <w:pPr>
        <w:pStyle w:val="Heading2"/>
        <w:spacing w:before="79"/>
        <w:ind w:right="496"/>
        <w:jc w:val="center"/>
      </w:pPr>
      <w:r>
        <w:lastRenderedPageBreak/>
        <w:t>Table 2: NEHRP Site classification definitions (BSSC, 2001).</w:t>
      </w:r>
    </w:p>
    <w:p w:rsidR="00C14782" w:rsidRDefault="00C14782">
      <w:pPr>
        <w:pStyle w:val="BodyText"/>
        <w:spacing w:before="5"/>
        <w:rPr>
          <w:b/>
          <w:sz w:val="17"/>
        </w:rPr>
      </w:pPr>
    </w:p>
    <w:tbl>
      <w:tblPr>
        <w:tblW w:w="0" w:type="auto"/>
        <w:tblInd w:w="1935" w:type="dxa"/>
        <w:tblLayout w:type="fixed"/>
        <w:tblCellMar>
          <w:left w:w="0" w:type="dxa"/>
          <w:right w:w="0" w:type="dxa"/>
        </w:tblCellMar>
        <w:tblLook w:val="01E0" w:firstRow="1" w:lastRow="1" w:firstColumn="1" w:lastColumn="1" w:noHBand="0" w:noVBand="0"/>
      </w:tblPr>
      <w:tblGrid>
        <w:gridCol w:w="1202"/>
        <w:gridCol w:w="2659"/>
        <w:gridCol w:w="1844"/>
      </w:tblGrid>
      <w:tr w:rsidR="00C14782">
        <w:trPr>
          <w:trHeight w:val="810"/>
        </w:trPr>
        <w:tc>
          <w:tcPr>
            <w:tcW w:w="1202" w:type="dxa"/>
            <w:tcBorders>
              <w:top w:val="single" w:sz="4" w:space="0" w:color="000000"/>
            </w:tcBorders>
          </w:tcPr>
          <w:p w:rsidR="00C14782" w:rsidRDefault="00C14782">
            <w:pPr>
              <w:pStyle w:val="TableParagraph"/>
              <w:jc w:val="left"/>
              <w:rPr>
                <w:b/>
              </w:rPr>
            </w:pPr>
          </w:p>
          <w:p w:rsidR="00C14782" w:rsidRDefault="002F33BB">
            <w:pPr>
              <w:pStyle w:val="TableParagraph"/>
              <w:ind w:left="117" w:right="134"/>
              <w:rPr>
                <w:b/>
              </w:rPr>
            </w:pPr>
            <w:r>
              <w:rPr>
                <w:b/>
              </w:rPr>
              <w:t>Site Class</w:t>
            </w:r>
          </w:p>
        </w:tc>
        <w:tc>
          <w:tcPr>
            <w:tcW w:w="2659" w:type="dxa"/>
            <w:tcBorders>
              <w:top w:val="single" w:sz="4" w:space="0" w:color="000000"/>
            </w:tcBorders>
          </w:tcPr>
          <w:p w:rsidR="00C14782" w:rsidRDefault="00C14782">
            <w:pPr>
              <w:pStyle w:val="TableParagraph"/>
              <w:jc w:val="left"/>
              <w:rPr>
                <w:b/>
              </w:rPr>
            </w:pPr>
          </w:p>
          <w:p w:rsidR="00C14782" w:rsidRDefault="002F33BB">
            <w:pPr>
              <w:pStyle w:val="TableParagraph"/>
              <w:ind w:left="230" w:right="178"/>
              <w:rPr>
                <w:b/>
              </w:rPr>
            </w:pPr>
            <w:r>
              <w:rPr>
                <w:b/>
              </w:rPr>
              <w:t>Profile Type</w:t>
            </w:r>
          </w:p>
        </w:tc>
        <w:tc>
          <w:tcPr>
            <w:tcW w:w="1844" w:type="dxa"/>
            <w:tcBorders>
              <w:top w:val="single" w:sz="4" w:space="0" w:color="000000"/>
            </w:tcBorders>
          </w:tcPr>
          <w:p w:rsidR="00C14782" w:rsidRDefault="002F33BB">
            <w:pPr>
              <w:pStyle w:val="TableParagraph"/>
              <w:spacing w:before="1"/>
              <w:ind w:left="309" w:right="114" w:hanging="109"/>
              <w:jc w:val="left"/>
              <w:rPr>
                <w:b/>
              </w:rPr>
            </w:pPr>
            <w:r>
              <w:rPr>
                <w:b/>
              </w:rPr>
              <w:t>Rock/Soil Shear wave Velocity</w:t>
            </w:r>
          </w:p>
          <w:p w:rsidR="00C14782" w:rsidRDefault="002F33BB">
            <w:pPr>
              <w:pStyle w:val="TableParagraph"/>
              <w:tabs>
                <w:tab w:val="left" w:pos="717"/>
                <w:tab w:val="left" w:pos="1842"/>
              </w:tabs>
              <w:spacing w:line="251" w:lineRule="exact"/>
              <w:ind w:left="-3852"/>
              <w:jc w:val="left"/>
              <w:rPr>
                <w:b/>
              </w:rPr>
            </w:pPr>
            <w:r>
              <w:rPr>
                <w:b/>
                <w:u w:val="single"/>
              </w:rPr>
              <w:t xml:space="preserve"> </w:t>
            </w:r>
            <w:r>
              <w:rPr>
                <w:b/>
                <w:u w:val="single"/>
              </w:rPr>
              <w:tab/>
              <w:t>(m/s)</w:t>
            </w:r>
            <w:r>
              <w:rPr>
                <w:b/>
                <w:u w:val="single"/>
              </w:rPr>
              <w:tab/>
            </w:r>
          </w:p>
        </w:tc>
      </w:tr>
      <w:tr w:rsidR="00C14782">
        <w:trPr>
          <w:trHeight w:val="392"/>
        </w:trPr>
        <w:tc>
          <w:tcPr>
            <w:tcW w:w="1202" w:type="dxa"/>
          </w:tcPr>
          <w:p w:rsidR="00C14782" w:rsidRDefault="002F33BB">
            <w:pPr>
              <w:pStyle w:val="TableParagraph"/>
              <w:spacing w:before="46"/>
              <w:ind w:right="15"/>
              <w:rPr>
                <w:b/>
              </w:rPr>
            </w:pPr>
            <w:r>
              <w:rPr>
                <w:b/>
                <w:w w:val="99"/>
              </w:rPr>
              <w:t>A</w:t>
            </w:r>
          </w:p>
        </w:tc>
        <w:tc>
          <w:tcPr>
            <w:tcW w:w="2659" w:type="dxa"/>
          </w:tcPr>
          <w:p w:rsidR="00C14782" w:rsidRDefault="002F33BB">
            <w:pPr>
              <w:pStyle w:val="TableParagraph"/>
              <w:spacing w:before="43"/>
              <w:ind w:left="230" w:right="181"/>
            </w:pPr>
            <w:r>
              <w:t>Hard rock</w:t>
            </w:r>
          </w:p>
        </w:tc>
        <w:tc>
          <w:tcPr>
            <w:tcW w:w="1844" w:type="dxa"/>
          </w:tcPr>
          <w:p w:rsidR="00C14782" w:rsidRDefault="002F33BB">
            <w:pPr>
              <w:pStyle w:val="TableParagraph"/>
              <w:spacing w:before="43"/>
              <w:ind w:left="673"/>
              <w:jc w:val="left"/>
            </w:pPr>
            <w:r>
              <w:t>&gt;1500</w:t>
            </w:r>
          </w:p>
        </w:tc>
      </w:tr>
      <w:tr w:rsidR="00C14782">
        <w:trPr>
          <w:trHeight w:val="432"/>
        </w:trPr>
        <w:tc>
          <w:tcPr>
            <w:tcW w:w="1202" w:type="dxa"/>
          </w:tcPr>
          <w:p w:rsidR="00C14782" w:rsidRDefault="002F33BB">
            <w:pPr>
              <w:pStyle w:val="TableParagraph"/>
              <w:spacing w:before="87"/>
              <w:ind w:right="19"/>
              <w:rPr>
                <w:b/>
              </w:rPr>
            </w:pPr>
            <w:r>
              <w:rPr>
                <w:b/>
              </w:rPr>
              <w:t>B</w:t>
            </w:r>
          </w:p>
        </w:tc>
        <w:tc>
          <w:tcPr>
            <w:tcW w:w="2659" w:type="dxa"/>
          </w:tcPr>
          <w:p w:rsidR="00C14782" w:rsidRDefault="002F33BB">
            <w:pPr>
              <w:pStyle w:val="TableParagraph"/>
              <w:spacing w:before="83"/>
              <w:ind w:left="230" w:right="177"/>
            </w:pPr>
            <w:r>
              <w:t>Rock</w:t>
            </w:r>
          </w:p>
        </w:tc>
        <w:tc>
          <w:tcPr>
            <w:tcW w:w="1844" w:type="dxa"/>
          </w:tcPr>
          <w:p w:rsidR="00C14782" w:rsidRDefault="002F33BB">
            <w:pPr>
              <w:pStyle w:val="TableParagraph"/>
              <w:spacing w:before="83"/>
              <w:ind w:left="481"/>
              <w:jc w:val="left"/>
            </w:pPr>
            <w:r>
              <w:t>760 - 1500</w:t>
            </w:r>
          </w:p>
        </w:tc>
      </w:tr>
      <w:tr w:rsidR="00C14782">
        <w:trPr>
          <w:trHeight w:val="432"/>
        </w:trPr>
        <w:tc>
          <w:tcPr>
            <w:tcW w:w="1202" w:type="dxa"/>
          </w:tcPr>
          <w:p w:rsidR="00C14782" w:rsidRDefault="002F33BB">
            <w:pPr>
              <w:pStyle w:val="TableParagraph"/>
              <w:spacing w:before="87"/>
              <w:ind w:right="15"/>
              <w:rPr>
                <w:b/>
              </w:rPr>
            </w:pPr>
            <w:r>
              <w:rPr>
                <w:b/>
                <w:w w:val="99"/>
              </w:rPr>
              <w:t>C</w:t>
            </w:r>
          </w:p>
        </w:tc>
        <w:tc>
          <w:tcPr>
            <w:tcW w:w="2659" w:type="dxa"/>
          </w:tcPr>
          <w:p w:rsidR="00C14782" w:rsidRDefault="002F33BB">
            <w:pPr>
              <w:pStyle w:val="TableParagraph"/>
              <w:spacing w:before="83"/>
              <w:ind w:left="230" w:right="183"/>
            </w:pPr>
            <w:r>
              <w:t>Very dense soil/soft rock</w:t>
            </w:r>
          </w:p>
        </w:tc>
        <w:tc>
          <w:tcPr>
            <w:tcW w:w="1844" w:type="dxa"/>
          </w:tcPr>
          <w:p w:rsidR="00C14782" w:rsidRDefault="002F33BB">
            <w:pPr>
              <w:pStyle w:val="TableParagraph"/>
              <w:spacing w:before="83"/>
              <w:ind w:left="533"/>
              <w:jc w:val="left"/>
            </w:pPr>
            <w:r>
              <w:t>360 - 760</w:t>
            </w:r>
          </w:p>
        </w:tc>
      </w:tr>
      <w:tr w:rsidR="00C14782">
        <w:trPr>
          <w:trHeight w:val="431"/>
        </w:trPr>
        <w:tc>
          <w:tcPr>
            <w:tcW w:w="1202" w:type="dxa"/>
          </w:tcPr>
          <w:p w:rsidR="00C14782" w:rsidRDefault="002F33BB">
            <w:pPr>
              <w:pStyle w:val="TableParagraph"/>
              <w:spacing w:before="87"/>
              <w:ind w:right="15"/>
              <w:rPr>
                <w:b/>
              </w:rPr>
            </w:pPr>
            <w:r>
              <w:rPr>
                <w:b/>
                <w:w w:val="99"/>
              </w:rPr>
              <w:t>D</w:t>
            </w:r>
          </w:p>
        </w:tc>
        <w:tc>
          <w:tcPr>
            <w:tcW w:w="2659" w:type="dxa"/>
          </w:tcPr>
          <w:p w:rsidR="00C14782" w:rsidRDefault="002F33BB">
            <w:pPr>
              <w:pStyle w:val="TableParagraph"/>
              <w:spacing w:before="83"/>
              <w:ind w:left="230" w:right="182"/>
            </w:pPr>
            <w:r>
              <w:t>Stiff soil</w:t>
            </w:r>
          </w:p>
        </w:tc>
        <w:tc>
          <w:tcPr>
            <w:tcW w:w="1844" w:type="dxa"/>
          </w:tcPr>
          <w:p w:rsidR="00C14782" w:rsidRDefault="002F33BB">
            <w:pPr>
              <w:pStyle w:val="TableParagraph"/>
              <w:spacing w:before="83"/>
              <w:ind w:left="533"/>
              <w:jc w:val="left"/>
            </w:pPr>
            <w:r>
              <w:t>180 - 360</w:t>
            </w:r>
          </w:p>
        </w:tc>
      </w:tr>
      <w:tr w:rsidR="00C14782">
        <w:trPr>
          <w:trHeight w:val="387"/>
        </w:trPr>
        <w:tc>
          <w:tcPr>
            <w:tcW w:w="1202" w:type="dxa"/>
          </w:tcPr>
          <w:p w:rsidR="00C14782" w:rsidRDefault="002F33BB">
            <w:pPr>
              <w:pStyle w:val="TableParagraph"/>
              <w:spacing w:before="87"/>
              <w:ind w:right="19"/>
              <w:rPr>
                <w:b/>
              </w:rPr>
            </w:pPr>
            <w:r>
              <w:rPr>
                <w:b/>
              </w:rPr>
              <w:t>E</w:t>
            </w:r>
          </w:p>
        </w:tc>
        <w:tc>
          <w:tcPr>
            <w:tcW w:w="2659" w:type="dxa"/>
          </w:tcPr>
          <w:p w:rsidR="00C14782" w:rsidRDefault="002F33BB">
            <w:pPr>
              <w:pStyle w:val="TableParagraph"/>
              <w:spacing w:before="83"/>
              <w:ind w:left="230" w:right="182"/>
            </w:pPr>
            <w:r>
              <w:t>Soft soil</w:t>
            </w:r>
          </w:p>
        </w:tc>
        <w:tc>
          <w:tcPr>
            <w:tcW w:w="1844" w:type="dxa"/>
          </w:tcPr>
          <w:p w:rsidR="00C14782" w:rsidRDefault="002F33BB">
            <w:pPr>
              <w:pStyle w:val="TableParagraph"/>
              <w:spacing w:before="83"/>
              <w:ind w:left="710" w:right="638"/>
            </w:pPr>
            <w:r>
              <w:t>&lt;180</w:t>
            </w:r>
          </w:p>
        </w:tc>
      </w:tr>
      <w:tr w:rsidR="00C14782">
        <w:trPr>
          <w:trHeight w:val="556"/>
        </w:trPr>
        <w:tc>
          <w:tcPr>
            <w:tcW w:w="1202" w:type="dxa"/>
            <w:tcBorders>
              <w:bottom w:val="double" w:sz="2" w:space="0" w:color="000000"/>
            </w:tcBorders>
          </w:tcPr>
          <w:p w:rsidR="00C14782" w:rsidRDefault="002F33BB">
            <w:pPr>
              <w:pStyle w:val="TableParagraph"/>
              <w:spacing w:before="171"/>
              <w:ind w:right="15"/>
              <w:rPr>
                <w:b/>
              </w:rPr>
            </w:pPr>
            <w:r>
              <w:rPr>
                <w:b/>
              </w:rPr>
              <w:t>F</w:t>
            </w:r>
          </w:p>
        </w:tc>
        <w:tc>
          <w:tcPr>
            <w:tcW w:w="2659" w:type="dxa"/>
            <w:tcBorders>
              <w:bottom w:val="double" w:sz="2" w:space="0" w:color="000000"/>
            </w:tcBorders>
          </w:tcPr>
          <w:p w:rsidR="00C14782" w:rsidRDefault="002F33BB">
            <w:pPr>
              <w:pStyle w:val="TableParagraph"/>
              <w:spacing w:before="42" w:line="252" w:lineRule="exact"/>
              <w:ind w:left="527" w:right="83" w:hanging="373"/>
              <w:jc w:val="left"/>
            </w:pPr>
            <w:r>
              <w:t>Special soils requiring site- specific evaluation</w:t>
            </w:r>
          </w:p>
        </w:tc>
        <w:tc>
          <w:tcPr>
            <w:tcW w:w="1844" w:type="dxa"/>
            <w:tcBorders>
              <w:bottom w:val="double" w:sz="2" w:space="0" w:color="000000"/>
            </w:tcBorders>
          </w:tcPr>
          <w:p w:rsidR="00C14782" w:rsidRDefault="00C14782">
            <w:pPr>
              <w:pStyle w:val="TableParagraph"/>
              <w:jc w:val="left"/>
            </w:pPr>
          </w:p>
        </w:tc>
      </w:tr>
    </w:tbl>
    <w:p w:rsidR="00C14782" w:rsidRDefault="00C14782">
      <w:pPr>
        <w:pStyle w:val="BodyText"/>
        <w:rPr>
          <w:b/>
          <w:sz w:val="24"/>
        </w:rPr>
      </w:pPr>
    </w:p>
    <w:p w:rsidR="00C14782" w:rsidRDefault="00C14782">
      <w:pPr>
        <w:pStyle w:val="BodyText"/>
        <w:spacing w:before="4"/>
        <w:rPr>
          <w:b/>
          <w:sz w:val="19"/>
        </w:rPr>
      </w:pPr>
    </w:p>
    <w:p w:rsidR="00C14782" w:rsidRDefault="002F33BB">
      <w:pPr>
        <w:ind w:left="100"/>
        <w:rPr>
          <w:i/>
        </w:rPr>
      </w:pPr>
      <w:r>
        <w:rPr>
          <w:i/>
          <w:u w:val="single"/>
        </w:rPr>
        <w:t>SLIDO Database - Version 4.0</w:t>
      </w:r>
    </w:p>
    <w:p w:rsidR="00C14782" w:rsidRDefault="002F33BB">
      <w:pPr>
        <w:pStyle w:val="BodyText"/>
        <w:spacing w:before="39" w:line="276" w:lineRule="auto"/>
        <w:ind w:left="100" w:right="92"/>
      </w:pPr>
      <w:r>
        <w:t xml:space="preserve">DOGAMI provides the Statewide Landslide Information Database for Oregon (SLIDO), which contains a compilation of landslides that have been identified on published maps (Burns et al., 2011). O-HELP streams these data directly from the SLIDO database server (Version 4), accessed directly at </w:t>
      </w:r>
      <w:hyperlink r:id="rId65">
        <w:r>
          <w:rPr>
            <w:color w:val="0000FF"/>
            <w:u w:val="single" w:color="0000FF"/>
          </w:rPr>
          <w:t>https://www.oregongeology.org/slido/data.htm</w:t>
        </w:r>
      </w:hyperlink>
    </w:p>
    <w:p w:rsidR="00C14782" w:rsidRDefault="002F33BB">
      <w:pPr>
        <w:pStyle w:val="ListParagraph"/>
        <w:numPr>
          <w:ilvl w:val="0"/>
          <w:numId w:val="7"/>
        </w:numPr>
        <w:tabs>
          <w:tab w:val="left" w:pos="820"/>
          <w:tab w:val="left" w:pos="821"/>
        </w:tabs>
        <w:spacing w:before="191" w:line="271" w:lineRule="auto"/>
        <w:ind w:right="311"/>
      </w:pPr>
      <w:r>
        <w:rPr>
          <w:b/>
          <w:i/>
        </w:rPr>
        <w:t xml:space="preserve">Landslide Polygons: </w:t>
      </w:r>
      <w:r>
        <w:t>a vector polygon feature representing the landslide deposits and scarps along with scarp flanks.</w:t>
      </w:r>
      <w:r>
        <w:rPr>
          <w:spacing w:val="9"/>
        </w:rPr>
        <w:t xml:space="preserve"> </w:t>
      </w:r>
      <w:r>
        <w:t>DOGAMI is rapidly advancing this layer by utilizing lidar technology.</w:t>
      </w:r>
    </w:p>
    <w:p w:rsidR="00C14782" w:rsidRDefault="002F33BB">
      <w:pPr>
        <w:pStyle w:val="ListParagraph"/>
        <w:numPr>
          <w:ilvl w:val="0"/>
          <w:numId w:val="7"/>
        </w:numPr>
        <w:tabs>
          <w:tab w:val="left" w:pos="820"/>
          <w:tab w:val="left" w:pos="821"/>
        </w:tabs>
        <w:spacing w:line="266" w:lineRule="auto"/>
        <w:ind w:right="442"/>
      </w:pPr>
      <w:r>
        <w:rPr>
          <w:b/>
          <w:i/>
        </w:rPr>
        <w:t>Landslide</w:t>
      </w:r>
      <w:r>
        <w:rPr>
          <w:b/>
          <w:i/>
          <w:spacing w:val="-6"/>
        </w:rPr>
        <w:t xml:space="preserve"> </w:t>
      </w:r>
      <w:r>
        <w:rPr>
          <w:b/>
          <w:i/>
        </w:rPr>
        <w:t>Points:</w:t>
      </w:r>
      <w:r>
        <w:rPr>
          <w:b/>
          <w:i/>
          <w:spacing w:val="-2"/>
        </w:rPr>
        <w:t xml:space="preserve"> </w:t>
      </w:r>
      <w:r>
        <w:t>the</w:t>
      </w:r>
      <w:r>
        <w:rPr>
          <w:spacing w:val="-5"/>
        </w:rPr>
        <w:t xml:space="preserve"> </w:t>
      </w:r>
      <w:r>
        <w:t>location</w:t>
      </w:r>
      <w:r>
        <w:rPr>
          <w:spacing w:val="-6"/>
        </w:rPr>
        <w:t xml:space="preserve"> </w:t>
      </w:r>
      <w:r>
        <w:t>of</w:t>
      </w:r>
      <w:r>
        <w:rPr>
          <w:spacing w:val="-1"/>
        </w:rPr>
        <w:t xml:space="preserve"> </w:t>
      </w:r>
      <w:r>
        <w:t>historic</w:t>
      </w:r>
      <w:r>
        <w:rPr>
          <w:spacing w:val="-5"/>
        </w:rPr>
        <w:t xml:space="preserve"> </w:t>
      </w:r>
      <w:r>
        <w:t>landslides, which</w:t>
      </w:r>
      <w:r>
        <w:rPr>
          <w:spacing w:val="-6"/>
        </w:rPr>
        <w:t xml:space="preserve"> </w:t>
      </w:r>
      <w:r>
        <w:t>occurred</w:t>
      </w:r>
      <w:r>
        <w:rPr>
          <w:spacing w:val="-2"/>
        </w:rPr>
        <w:t xml:space="preserve"> </w:t>
      </w:r>
      <w:r>
        <w:t>in</w:t>
      </w:r>
      <w:r>
        <w:rPr>
          <w:spacing w:val="-6"/>
        </w:rPr>
        <w:t xml:space="preserve"> </w:t>
      </w:r>
      <w:r>
        <w:t>Oregon,</w:t>
      </w:r>
      <w:r>
        <w:rPr>
          <w:spacing w:val="-3"/>
        </w:rPr>
        <w:t xml:space="preserve"> </w:t>
      </w:r>
      <w:r>
        <w:t>compiled</w:t>
      </w:r>
      <w:r>
        <w:rPr>
          <w:spacing w:val="-2"/>
        </w:rPr>
        <w:t xml:space="preserve"> </w:t>
      </w:r>
      <w:r>
        <w:t>as</w:t>
      </w:r>
      <w:r>
        <w:rPr>
          <w:spacing w:val="-5"/>
        </w:rPr>
        <w:t xml:space="preserve"> </w:t>
      </w:r>
      <w:r>
        <w:t>a point feature</w:t>
      </w:r>
      <w:r>
        <w:rPr>
          <w:spacing w:val="-3"/>
        </w:rPr>
        <w:t xml:space="preserve"> </w:t>
      </w:r>
      <w:r>
        <w:t>dataset.</w:t>
      </w:r>
    </w:p>
    <w:p w:rsidR="00C14782" w:rsidRDefault="002F33BB">
      <w:pPr>
        <w:spacing w:before="208"/>
        <w:ind w:left="100"/>
        <w:rPr>
          <w:i/>
        </w:rPr>
      </w:pPr>
      <w:r>
        <w:rPr>
          <w:i/>
          <w:u w:val="single"/>
        </w:rPr>
        <w:t>Transportation</w:t>
      </w:r>
    </w:p>
    <w:p w:rsidR="00C14782" w:rsidRDefault="002F33BB">
      <w:pPr>
        <w:pStyle w:val="ListParagraph"/>
        <w:numPr>
          <w:ilvl w:val="0"/>
          <w:numId w:val="7"/>
        </w:numPr>
        <w:tabs>
          <w:tab w:val="left" w:pos="820"/>
          <w:tab w:val="left" w:pos="821"/>
        </w:tabs>
        <w:spacing w:before="29" w:line="268" w:lineRule="auto"/>
        <w:ind w:right="242"/>
      </w:pPr>
      <w:r>
        <w:rPr>
          <w:b/>
          <w:i/>
        </w:rPr>
        <w:t>Bridges:</w:t>
      </w:r>
      <w:r>
        <w:rPr>
          <w:b/>
          <w:i/>
          <w:spacing w:val="-4"/>
        </w:rPr>
        <w:t xml:space="preserve"> </w:t>
      </w:r>
      <w:r>
        <w:t>this</w:t>
      </w:r>
      <w:r>
        <w:rPr>
          <w:spacing w:val="-3"/>
        </w:rPr>
        <w:t xml:space="preserve"> </w:t>
      </w:r>
      <w:r>
        <w:t>is</w:t>
      </w:r>
      <w:r>
        <w:rPr>
          <w:spacing w:val="-3"/>
        </w:rPr>
        <w:t xml:space="preserve"> </w:t>
      </w:r>
      <w:r>
        <w:t>a</w:t>
      </w:r>
      <w:r>
        <w:rPr>
          <w:spacing w:val="-3"/>
        </w:rPr>
        <w:t xml:space="preserve"> </w:t>
      </w:r>
      <w:r>
        <w:t>complete</w:t>
      </w:r>
      <w:r>
        <w:rPr>
          <w:spacing w:val="-3"/>
        </w:rPr>
        <w:t xml:space="preserve"> </w:t>
      </w:r>
      <w:r>
        <w:t>database</w:t>
      </w:r>
      <w:r>
        <w:rPr>
          <w:spacing w:val="-3"/>
        </w:rPr>
        <w:t xml:space="preserve"> </w:t>
      </w:r>
      <w:r>
        <w:t>of</w:t>
      </w:r>
      <w:r>
        <w:rPr>
          <w:spacing w:val="1"/>
        </w:rPr>
        <w:t xml:space="preserve"> </w:t>
      </w:r>
      <w:r>
        <w:t>all</w:t>
      </w:r>
      <w:r>
        <w:rPr>
          <w:spacing w:val="-3"/>
        </w:rPr>
        <w:t xml:space="preserve"> </w:t>
      </w:r>
      <w:r>
        <w:t>bridges</w:t>
      </w:r>
      <w:r>
        <w:rPr>
          <w:spacing w:val="-3"/>
        </w:rPr>
        <w:t xml:space="preserve"> </w:t>
      </w:r>
      <w:r>
        <w:t>in</w:t>
      </w:r>
      <w:r>
        <w:rPr>
          <w:spacing w:val="-4"/>
        </w:rPr>
        <w:t xml:space="preserve"> </w:t>
      </w:r>
      <w:r>
        <w:t>the</w:t>
      </w:r>
      <w:r>
        <w:rPr>
          <w:spacing w:val="-3"/>
        </w:rPr>
        <w:t xml:space="preserve"> </w:t>
      </w:r>
      <w:r>
        <w:t>state</w:t>
      </w:r>
      <w:r>
        <w:rPr>
          <w:spacing w:val="-3"/>
        </w:rPr>
        <w:t xml:space="preserve"> </w:t>
      </w:r>
      <w:r>
        <w:t>of</w:t>
      </w:r>
      <w:r>
        <w:rPr>
          <w:spacing w:val="1"/>
        </w:rPr>
        <w:t xml:space="preserve"> </w:t>
      </w:r>
      <w:r>
        <w:t>Oregon</w:t>
      </w:r>
      <w:r>
        <w:rPr>
          <w:spacing w:val="-4"/>
        </w:rPr>
        <w:t xml:space="preserve"> </w:t>
      </w:r>
      <w:r>
        <w:t>provided by</w:t>
      </w:r>
      <w:r>
        <w:rPr>
          <w:spacing w:val="2"/>
        </w:rPr>
        <w:t xml:space="preserve"> </w:t>
      </w:r>
      <w:r>
        <w:t>ODOT</w:t>
      </w:r>
      <w:r>
        <w:rPr>
          <w:spacing w:val="-8"/>
        </w:rPr>
        <w:t xml:space="preserve"> </w:t>
      </w:r>
      <w:r>
        <w:t>and made available by the Oregon Geospatial Data Enterprise Spatial Data</w:t>
      </w:r>
      <w:r>
        <w:rPr>
          <w:spacing w:val="-15"/>
        </w:rPr>
        <w:t xml:space="preserve"> </w:t>
      </w:r>
      <w:r>
        <w:t>library.</w:t>
      </w:r>
    </w:p>
    <w:p w:rsidR="00C14782" w:rsidRDefault="002F33BB">
      <w:pPr>
        <w:pStyle w:val="ListParagraph"/>
        <w:numPr>
          <w:ilvl w:val="0"/>
          <w:numId w:val="7"/>
        </w:numPr>
        <w:tabs>
          <w:tab w:val="left" w:pos="820"/>
          <w:tab w:val="left" w:pos="821"/>
        </w:tabs>
        <w:spacing w:line="279" w:lineRule="exact"/>
        <w:ind w:hanging="361"/>
      </w:pPr>
      <w:r>
        <w:rPr>
          <w:b/>
          <w:i/>
        </w:rPr>
        <w:t xml:space="preserve">Highway: </w:t>
      </w:r>
      <w:r>
        <w:t>this is a compilation of the entire ODOT highway network, provided by</w:t>
      </w:r>
      <w:r>
        <w:rPr>
          <w:spacing w:val="-22"/>
        </w:rPr>
        <w:t xml:space="preserve"> </w:t>
      </w:r>
      <w:r>
        <w:t>ODOT.</w:t>
      </w:r>
    </w:p>
    <w:p w:rsidR="00C14782" w:rsidRDefault="002F33BB">
      <w:pPr>
        <w:pStyle w:val="ListParagraph"/>
        <w:numPr>
          <w:ilvl w:val="0"/>
          <w:numId w:val="7"/>
        </w:numPr>
        <w:tabs>
          <w:tab w:val="left" w:pos="820"/>
          <w:tab w:val="left" w:pos="821"/>
        </w:tabs>
        <w:spacing w:before="26" w:line="271" w:lineRule="auto"/>
        <w:ind w:right="188"/>
      </w:pPr>
      <w:r>
        <w:rPr>
          <w:b/>
          <w:i/>
        </w:rPr>
        <w:t>PDX</w:t>
      </w:r>
      <w:r>
        <w:rPr>
          <w:b/>
          <w:i/>
          <w:spacing w:val="-5"/>
        </w:rPr>
        <w:t xml:space="preserve"> </w:t>
      </w:r>
      <w:r>
        <w:rPr>
          <w:b/>
          <w:i/>
        </w:rPr>
        <w:t>Base</w:t>
      </w:r>
      <w:r>
        <w:rPr>
          <w:b/>
          <w:i/>
          <w:spacing w:val="-4"/>
        </w:rPr>
        <w:t xml:space="preserve"> </w:t>
      </w:r>
      <w:r>
        <w:rPr>
          <w:b/>
          <w:i/>
        </w:rPr>
        <w:t>Condition:</w:t>
      </w:r>
      <w:r>
        <w:rPr>
          <w:b/>
          <w:i/>
          <w:spacing w:val="-4"/>
        </w:rPr>
        <w:t xml:space="preserve"> </w:t>
      </w:r>
      <w:r>
        <w:t>this</w:t>
      </w:r>
      <w:r>
        <w:rPr>
          <w:spacing w:val="-4"/>
        </w:rPr>
        <w:t xml:space="preserve"> </w:t>
      </w:r>
      <w:r>
        <w:t>accessibility</w:t>
      </w:r>
      <w:r>
        <w:rPr>
          <w:spacing w:val="-4"/>
        </w:rPr>
        <w:t xml:space="preserve"> </w:t>
      </w:r>
      <w:r>
        <w:t>map</w:t>
      </w:r>
      <w:r>
        <w:rPr>
          <w:spacing w:val="-1"/>
        </w:rPr>
        <w:t xml:space="preserve"> </w:t>
      </w:r>
      <w:r>
        <w:t>presents</w:t>
      </w:r>
      <w:r>
        <w:rPr>
          <w:spacing w:val="-4"/>
        </w:rPr>
        <w:t xml:space="preserve"> </w:t>
      </w:r>
      <w:r>
        <w:t>the estimated travel</w:t>
      </w:r>
      <w:r>
        <w:rPr>
          <w:spacing w:val="-4"/>
        </w:rPr>
        <w:t xml:space="preserve"> </w:t>
      </w:r>
      <w:r>
        <w:t>time</w:t>
      </w:r>
      <w:r>
        <w:rPr>
          <w:spacing w:val="-4"/>
        </w:rPr>
        <w:t xml:space="preserve"> </w:t>
      </w:r>
      <w:r>
        <w:t>from</w:t>
      </w:r>
      <w:r>
        <w:rPr>
          <w:spacing w:val="-2"/>
        </w:rPr>
        <w:t xml:space="preserve"> </w:t>
      </w:r>
      <w:r>
        <w:t>each</w:t>
      </w:r>
      <w:r>
        <w:rPr>
          <w:spacing w:val="-5"/>
        </w:rPr>
        <w:t xml:space="preserve"> </w:t>
      </w:r>
      <w:r>
        <w:t>zone</w:t>
      </w:r>
      <w:r>
        <w:rPr>
          <w:spacing w:val="-4"/>
        </w:rPr>
        <w:t xml:space="preserve"> </w:t>
      </w:r>
      <w:r>
        <w:t>to Portland International Airport when the network is intact. The afternoon peak traffic condition (4pm-5pm) is adopted for simulation in</w:t>
      </w:r>
      <w:r>
        <w:rPr>
          <w:spacing w:val="-11"/>
        </w:rPr>
        <w:t xml:space="preserve"> </w:t>
      </w:r>
      <w:r>
        <w:t>VISUM.</w:t>
      </w:r>
    </w:p>
    <w:p w:rsidR="00C14782" w:rsidRDefault="002F33BB">
      <w:pPr>
        <w:pStyle w:val="ListParagraph"/>
        <w:numPr>
          <w:ilvl w:val="0"/>
          <w:numId w:val="7"/>
        </w:numPr>
        <w:tabs>
          <w:tab w:val="left" w:pos="820"/>
          <w:tab w:val="left" w:pos="821"/>
        </w:tabs>
        <w:spacing w:line="273" w:lineRule="auto"/>
        <w:ind w:right="180"/>
      </w:pPr>
      <w:r>
        <w:rPr>
          <w:b/>
          <w:i/>
        </w:rPr>
        <w:t>PDX</w:t>
      </w:r>
      <w:r>
        <w:rPr>
          <w:b/>
          <w:i/>
          <w:spacing w:val="-5"/>
        </w:rPr>
        <w:t xml:space="preserve"> </w:t>
      </w:r>
      <w:r>
        <w:rPr>
          <w:b/>
          <w:i/>
        </w:rPr>
        <w:t>Bridge</w:t>
      </w:r>
      <w:r>
        <w:rPr>
          <w:b/>
          <w:i/>
          <w:spacing w:val="-4"/>
        </w:rPr>
        <w:t xml:space="preserve"> </w:t>
      </w:r>
      <w:r>
        <w:rPr>
          <w:b/>
          <w:i/>
        </w:rPr>
        <w:t>Failure</w:t>
      </w:r>
      <w:r>
        <w:rPr>
          <w:b/>
          <w:i/>
          <w:spacing w:val="-4"/>
        </w:rPr>
        <w:t xml:space="preserve"> </w:t>
      </w:r>
      <w:r>
        <w:rPr>
          <w:b/>
          <w:i/>
        </w:rPr>
        <w:t>Condition:</w:t>
      </w:r>
      <w:r>
        <w:rPr>
          <w:b/>
          <w:i/>
          <w:spacing w:val="-4"/>
        </w:rPr>
        <w:t xml:space="preserve"> </w:t>
      </w:r>
      <w:r>
        <w:t>this</w:t>
      </w:r>
      <w:r>
        <w:rPr>
          <w:spacing w:val="-3"/>
        </w:rPr>
        <w:t xml:space="preserve"> </w:t>
      </w:r>
      <w:r>
        <w:t>accessibility</w:t>
      </w:r>
      <w:r>
        <w:rPr>
          <w:spacing w:val="-5"/>
        </w:rPr>
        <w:t xml:space="preserve"> </w:t>
      </w:r>
      <w:r>
        <w:t>map</w:t>
      </w:r>
      <w:r>
        <w:rPr>
          <w:spacing w:val="-1"/>
        </w:rPr>
        <w:t xml:space="preserve"> </w:t>
      </w:r>
      <w:r>
        <w:t>presents</w:t>
      </w:r>
      <w:r>
        <w:rPr>
          <w:spacing w:val="-4"/>
        </w:rPr>
        <w:t xml:space="preserve"> </w:t>
      </w:r>
      <w:r>
        <w:t>the</w:t>
      </w:r>
      <w:r>
        <w:rPr>
          <w:spacing w:val="-4"/>
        </w:rPr>
        <w:t xml:space="preserve"> </w:t>
      </w:r>
      <w:r>
        <w:t>travel</w:t>
      </w:r>
      <w:r>
        <w:rPr>
          <w:spacing w:val="-3"/>
        </w:rPr>
        <w:t xml:space="preserve"> </w:t>
      </w:r>
      <w:r>
        <w:t>time</w:t>
      </w:r>
      <w:r>
        <w:rPr>
          <w:spacing w:val="-4"/>
        </w:rPr>
        <w:t xml:space="preserve"> </w:t>
      </w:r>
      <w:r>
        <w:t>from</w:t>
      </w:r>
      <w:r>
        <w:rPr>
          <w:spacing w:val="-2"/>
        </w:rPr>
        <w:t xml:space="preserve"> </w:t>
      </w:r>
      <w:r>
        <w:t>each</w:t>
      </w:r>
      <w:r>
        <w:rPr>
          <w:spacing w:val="-5"/>
        </w:rPr>
        <w:t xml:space="preserve"> </w:t>
      </w:r>
      <w:r>
        <w:t>zone</w:t>
      </w:r>
      <w:r>
        <w:rPr>
          <w:spacing w:val="-3"/>
        </w:rPr>
        <w:t xml:space="preserve"> </w:t>
      </w:r>
      <w:r>
        <w:t xml:space="preserve">to Portland International Airport when the network is disrupted, specifically, the eight bridges over the Willamette </w:t>
      </w:r>
      <w:proofErr w:type="spellStart"/>
      <w:r>
        <w:t>Rive</w:t>
      </w:r>
      <w:proofErr w:type="spellEnd"/>
      <w:r>
        <w:t xml:space="preserve"> near Portland downtown are set to be failed. The afternoon peak traffic condition (4pm-5pm) is adopted for simulation in</w:t>
      </w:r>
      <w:r>
        <w:rPr>
          <w:spacing w:val="-14"/>
        </w:rPr>
        <w:t xml:space="preserve"> </w:t>
      </w:r>
      <w:r>
        <w:t>VISUM.</w:t>
      </w:r>
    </w:p>
    <w:p w:rsidR="00C14782" w:rsidRDefault="002F33BB">
      <w:pPr>
        <w:spacing w:before="202"/>
        <w:ind w:left="100"/>
        <w:rPr>
          <w:i/>
        </w:rPr>
      </w:pPr>
      <w:proofErr w:type="spellStart"/>
      <w:r>
        <w:rPr>
          <w:i/>
          <w:u w:val="single"/>
        </w:rPr>
        <w:t>Drillhole</w:t>
      </w:r>
      <w:proofErr w:type="spellEnd"/>
      <w:r>
        <w:rPr>
          <w:i/>
          <w:u w:val="single"/>
        </w:rPr>
        <w:t xml:space="preserve"> Databases</w:t>
      </w:r>
    </w:p>
    <w:p w:rsidR="00C14782" w:rsidRDefault="002F33BB">
      <w:pPr>
        <w:pStyle w:val="ListParagraph"/>
        <w:numPr>
          <w:ilvl w:val="0"/>
          <w:numId w:val="6"/>
        </w:numPr>
        <w:tabs>
          <w:tab w:val="left" w:pos="820"/>
          <w:tab w:val="left" w:pos="821"/>
        </w:tabs>
        <w:spacing w:before="39" w:line="273" w:lineRule="auto"/>
        <w:ind w:right="210"/>
      </w:pPr>
      <w:r>
        <w:rPr>
          <w:b/>
          <w:i/>
        </w:rPr>
        <w:t xml:space="preserve">BODO: </w:t>
      </w:r>
      <w:r>
        <w:t>This is the Borehole Database of Oregon, which contains basic information about boreholes</w:t>
      </w:r>
      <w:r>
        <w:rPr>
          <w:spacing w:val="-4"/>
        </w:rPr>
        <w:t xml:space="preserve"> </w:t>
      </w:r>
      <w:r>
        <w:t>that</w:t>
      </w:r>
      <w:r>
        <w:rPr>
          <w:spacing w:val="-3"/>
        </w:rPr>
        <w:t xml:space="preserve"> </w:t>
      </w:r>
      <w:r>
        <w:t>has</w:t>
      </w:r>
      <w:r>
        <w:rPr>
          <w:spacing w:val="-4"/>
        </w:rPr>
        <w:t xml:space="preserve"> </w:t>
      </w:r>
      <w:r>
        <w:t>been</w:t>
      </w:r>
      <w:r>
        <w:rPr>
          <w:spacing w:val="-4"/>
        </w:rPr>
        <w:t xml:space="preserve"> </w:t>
      </w:r>
      <w:r>
        <w:t>autonomously</w:t>
      </w:r>
      <w:r>
        <w:rPr>
          <w:spacing w:val="-4"/>
        </w:rPr>
        <w:t xml:space="preserve"> </w:t>
      </w:r>
      <w:r>
        <w:t>extracted</w:t>
      </w:r>
      <w:r>
        <w:rPr>
          <w:spacing w:val="-1"/>
        </w:rPr>
        <w:t xml:space="preserve"> </w:t>
      </w:r>
      <w:r>
        <w:t>from</w:t>
      </w:r>
      <w:r>
        <w:rPr>
          <w:spacing w:val="-5"/>
        </w:rPr>
        <w:t xml:space="preserve"> </w:t>
      </w:r>
      <w:r>
        <w:t>logs</w:t>
      </w:r>
      <w:r>
        <w:rPr>
          <w:spacing w:val="-3"/>
        </w:rPr>
        <w:t xml:space="preserve"> </w:t>
      </w:r>
      <w:r>
        <w:t>via</w:t>
      </w:r>
      <w:r>
        <w:rPr>
          <w:spacing w:val="-4"/>
        </w:rPr>
        <w:t xml:space="preserve"> </w:t>
      </w:r>
      <w:r>
        <w:t>machine</w:t>
      </w:r>
      <w:r>
        <w:rPr>
          <w:spacing w:val="-3"/>
        </w:rPr>
        <w:t xml:space="preserve"> </w:t>
      </w:r>
      <w:r>
        <w:t>learning.</w:t>
      </w:r>
      <w:r>
        <w:rPr>
          <w:spacing w:val="-2"/>
        </w:rPr>
        <w:t xml:space="preserve"> </w:t>
      </w:r>
      <w:r>
        <w:t>Links</w:t>
      </w:r>
      <w:r>
        <w:rPr>
          <w:spacing w:val="-3"/>
        </w:rPr>
        <w:t xml:space="preserve"> </w:t>
      </w:r>
      <w:r>
        <w:t>to</w:t>
      </w:r>
      <w:r>
        <w:rPr>
          <w:spacing w:val="-1"/>
        </w:rPr>
        <w:t xml:space="preserve"> </w:t>
      </w:r>
      <w:r>
        <w:t>pdfs</w:t>
      </w:r>
      <w:r>
        <w:rPr>
          <w:spacing w:val="-7"/>
        </w:rPr>
        <w:t xml:space="preserve"> </w:t>
      </w:r>
      <w:r>
        <w:t>of the logs themselves are</w:t>
      </w:r>
      <w:r>
        <w:rPr>
          <w:spacing w:val="-5"/>
        </w:rPr>
        <w:t xml:space="preserve"> </w:t>
      </w:r>
      <w:r>
        <w:t>provided.</w:t>
      </w:r>
    </w:p>
    <w:p w:rsidR="00C14782" w:rsidRDefault="002F33BB">
      <w:pPr>
        <w:pStyle w:val="ListParagraph"/>
        <w:numPr>
          <w:ilvl w:val="0"/>
          <w:numId w:val="6"/>
        </w:numPr>
        <w:tabs>
          <w:tab w:val="left" w:pos="820"/>
          <w:tab w:val="left" w:pos="821"/>
        </w:tabs>
        <w:spacing w:before="5" w:line="271" w:lineRule="auto"/>
        <w:ind w:right="109"/>
      </w:pPr>
      <w:r>
        <w:rPr>
          <w:b/>
          <w:i/>
        </w:rPr>
        <w:t>PDX</w:t>
      </w:r>
      <w:r>
        <w:rPr>
          <w:b/>
          <w:i/>
          <w:spacing w:val="-7"/>
        </w:rPr>
        <w:t xml:space="preserve"> </w:t>
      </w:r>
      <w:r>
        <w:rPr>
          <w:b/>
          <w:i/>
        </w:rPr>
        <w:t>Boreholes:</w:t>
      </w:r>
      <w:r>
        <w:rPr>
          <w:b/>
          <w:i/>
          <w:spacing w:val="-2"/>
        </w:rPr>
        <w:t xml:space="preserve"> </w:t>
      </w:r>
      <w:r>
        <w:t>This</w:t>
      </w:r>
      <w:r>
        <w:rPr>
          <w:spacing w:val="-5"/>
        </w:rPr>
        <w:t xml:space="preserve"> </w:t>
      </w:r>
      <w:r>
        <w:t>feature</w:t>
      </w:r>
      <w:r>
        <w:rPr>
          <w:spacing w:val="-5"/>
        </w:rPr>
        <w:t xml:space="preserve"> </w:t>
      </w:r>
      <w:r>
        <w:t>class</w:t>
      </w:r>
      <w:r>
        <w:rPr>
          <w:spacing w:val="-3"/>
        </w:rPr>
        <w:t xml:space="preserve"> </w:t>
      </w:r>
      <w:r>
        <w:t>provided</w:t>
      </w:r>
      <w:r>
        <w:rPr>
          <w:spacing w:val="-3"/>
        </w:rPr>
        <w:t xml:space="preserve"> </w:t>
      </w:r>
      <w:r>
        <w:t>by</w:t>
      </w:r>
      <w:r>
        <w:rPr>
          <w:spacing w:val="-6"/>
        </w:rPr>
        <w:t xml:space="preserve"> </w:t>
      </w:r>
      <w:r>
        <w:t>DOGAMI</w:t>
      </w:r>
      <w:r>
        <w:rPr>
          <w:spacing w:val="-1"/>
        </w:rPr>
        <w:t xml:space="preserve"> </w:t>
      </w:r>
      <w:r>
        <w:t>contains</w:t>
      </w:r>
      <w:r>
        <w:rPr>
          <w:spacing w:val="-1"/>
        </w:rPr>
        <w:t xml:space="preserve"> </w:t>
      </w:r>
      <w:r>
        <w:t>actual</w:t>
      </w:r>
      <w:r>
        <w:rPr>
          <w:spacing w:val="-2"/>
        </w:rPr>
        <w:t xml:space="preserve"> </w:t>
      </w:r>
      <w:r>
        <w:t>and</w:t>
      </w:r>
      <w:r>
        <w:rPr>
          <w:spacing w:val="-2"/>
        </w:rPr>
        <w:t xml:space="preserve"> </w:t>
      </w:r>
      <w:r>
        <w:t>"pseudo"</w:t>
      </w:r>
      <w:r>
        <w:rPr>
          <w:spacing w:val="-5"/>
        </w:rPr>
        <w:t xml:space="preserve"> </w:t>
      </w:r>
      <w:proofErr w:type="spellStart"/>
      <w:r>
        <w:t>drillholes</w:t>
      </w:r>
      <w:proofErr w:type="spellEnd"/>
      <w:r>
        <w:t xml:space="preserve"> used to create 3D geologic and geophysical models for the 2013 Portland NEHRP</w:t>
      </w:r>
      <w:r>
        <w:rPr>
          <w:spacing w:val="-21"/>
        </w:rPr>
        <w:t xml:space="preserve"> </w:t>
      </w:r>
      <w:r>
        <w:t>project.</w:t>
      </w:r>
    </w:p>
    <w:p w:rsidR="00C14782" w:rsidRDefault="00C14782">
      <w:pPr>
        <w:spacing w:line="271" w:lineRule="auto"/>
        <w:sectPr w:rsidR="00C14782">
          <w:pgSz w:w="12240" w:h="15840"/>
          <w:pgMar w:top="1360" w:right="1340" w:bottom="1160" w:left="1340" w:header="0" w:footer="973" w:gutter="0"/>
          <w:cols w:space="720"/>
        </w:sectPr>
      </w:pPr>
    </w:p>
    <w:p w:rsidR="00C14782" w:rsidRDefault="002F33BB">
      <w:pPr>
        <w:pStyle w:val="BodyText"/>
        <w:spacing w:before="79" w:line="276" w:lineRule="auto"/>
        <w:ind w:left="820" w:right="92"/>
      </w:pPr>
      <w:proofErr w:type="spellStart"/>
      <w:r>
        <w:lastRenderedPageBreak/>
        <w:t>Drillhole</w:t>
      </w:r>
      <w:proofErr w:type="spellEnd"/>
      <w:r>
        <w:t xml:space="preserve"> points were digitized from maps or coordinates in drilling reports for geotechnical or other purposes (e.g. water wells, hydrocarbon exploration, </w:t>
      </w:r>
      <w:proofErr w:type="spellStart"/>
      <w:r>
        <w:t>etc</w:t>
      </w:r>
      <w:proofErr w:type="spellEnd"/>
      <w:r>
        <w:t xml:space="preserve">). The </w:t>
      </w:r>
      <w:proofErr w:type="spellStart"/>
      <w:r>
        <w:t>drillhole</w:t>
      </w:r>
      <w:proofErr w:type="spellEnd"/>
      <w:r>
        <w:t xml:space="preserve"> feature class participates in two one-to-many relationship classes with tables of downhole geologic interpretations (</w:t>
      </w:r>
      <w:proofErr w:type="spellStart"/>
      <w:r>
        <w:t>PDX_NEHRP_interpretations</w:t>
      </w:r>
      <w:proofErr w:type="spellEnd"/>
      <w:r>
        <w:t>) and shear-wave velocity measurements (PDX_NEHRP_Vs) using the key field "</w:t>
      </w:r>
      <w:proofErr w:type="spellStart"/>
      <w:r>
        <w:t>LOG_ID_concatenated</w:t>
      </w:r>
      <w:proofErr w:type="spellEnd"/>
      <w:r>
        <w:t>". It is provided by department of Oregon geology and mineral industry (DOGAMI). Specific sublayers can be individually turned on or off via the checkboxes:</w:t>
      </w:r>
    </w:p>
    <w:p w:rsidR="00C14782" w:rsidRDefault="002F33BB">
      <w:pPr>
        <w:pStyle w:val="ListParagraph"/>
        <w:numPr>
          <w:ilvl w:val="1"/>
          <w:numId w:val="6"/>
        </w:numPr>
        <w:tabs>
          <w:tab w:val="left" w:pos="1180"/>
          <w:tab w:val="left" w:pos="1181"/>
        </w:tabs>
        <w:spacing w:line="272" w:lineRule="exact"/>
      </w:pPr>
      <w:r>
        <w:rPr>
          <w:b/>
          <w:i/>
        </w:rPr>
        <w:t xml:space="preserve">CPT: </w:t>
      </w:r>
      <w:r>
        <w:t>locations of Cone penetrometer</w:t>
      </w:r>
      <w:r>
        <w:rPr>
          <w:spacing w:val="-2"/>
        </w:rPr>
        <w:t xml:space="preserve"> </w:t>
      </w:r>
      <w:r>
        <w:t>testing.</w:t>
      </w:r>
    </w:p>
    <w:p w:rsidR="00C14782" w:rsidRDefault="002F33BB">
      <w:pPr>
        <w:pStyle w:val="ListParagraph"/>
        <w:numPr>
          <w:ilvl w:val="1"/>
          <w:numId w:val="6"/>
        </w:numPr>
        <w:tabs>
          <w:tab w:val="left" w:pos="1180"/>
          <w:tab w:val="left" w:pos="1181"/>
        </w:tabs>
        <w:spacing w:before="26"/>
      </w:pPr>
      <w:r>
        <w:rPr>
          <w:b/>
          <w:i/>
        </w:rPr>
        <w:t xml:space="preserve">SPT: </w:t>
      </w:r>
      <w:r>
        <w:t>location of standard penetration</w:t>
      </w:r>
      <w:r>
        <w:rPr>
          <w:spacing w:val="-6"/>
        </w:rPr>
        <w:t xml:space="preserve"> </w:t>
      </w:r>
      <w:r>
        <w:t>testing.</w:t>
      </w:r>
    </w:p>
    <w:p w:rsidR="00C14782" w:rsidRDefault="002F33BB">
      <w:pPr>
        <w:pStyle w:val="ListParagraph"/>
        <w:numPr>
          <w:ilvl w:val="1"/>
          <w:numId w:val="6"/>
        </w:numPr>
        <w:tabs>
          <w:tab w:val="left" w:pos="1180"/>
          <w:tab w:val="left" w:pos="1181"/>
        </w:tabs>
        <w:spacing w:before="22" w:line="271" w:lineRule="auto"/>
        <w:ind w:right="828"/>
      </w:pPr>
      <w:proofErr w:type="spellStart"/>
      <w:r>
        <w:rPr>
          <w:b/>
          <w:i/>
        </w:rPr>
        <w:t>Shearwave</w:t>
      </w:r>
      <w:proofErr w:type="spellEnd"/>
      <w:r>
        <w:rPr>
          <w:b/>
          <w:i/>
        </w:rPr>
        <w:t xml:space="preserve"> Tests: </w:t>
      </w:r>
      <w:r>
        <w:t>locations where shear wave velocity tests have been</w:t>
      </w:r>
      <w:r>
        <w:rPr>
          <w:spacing w:val="-40"/>
        </w:rPr>
        <w:t xml:space="preserve"> </w:t>
      </w:r>
      <w:r>
        <w:t>completed and compiled.</w:t>
      </w:r>
    </w:p>
    <w:p w:rsidR="00C14782" w:rsidRDefault="002F33BB">
      <w:pPr>
        <w:spacing w:before="206"/>
        <w:ind w:left="100"/>
        <w:rPr>
          <w:i/>
        </w:rPr>
      </w:pPr>
      <w:r>
        <w:rPr>
          <w:i/>
          <w:u w:val="single"/>
        </w:rPr>
        <w:t>3D Portland</w:t>
      </w:r>
    </w:p>
    <w:p w:rsidR="00C14782" w:rsidRDefault="002F33BB">
      <w:pPr>
        <w:pStyle w:val="BodyText"/>
        <w:spacing w:before="39" w:line="276" w:lineRule="auto"/>
        <w:ind w:left="100" w:right="126"/>
      </w:pPr>
      <w:r>
        <w:t>The layer is a 3D model depicting buildings and rails in Portland, Oregon. This layer is only available in 3D view (See “2. Switch view from 3D to 2D” in Tool Features). These layers are streamed directly from ArcGIS online.</w:t>
      </w:r>
    </w:p>
    <w:p w:rsidR="00C14782" w:rsidRDefault="002F33BB">
      <w:pPr>
        <w:pStyle w:val="ListParagraph"/>
        <w:numPr>
          <w:ilvl w:val="0"/>
          <w:numId w:val="5"/>
        </w:numPr>
        <w:tabs>
          <w:tab w:val="left" w:pos="820"/>
          <w:tab w:val="left" w:pos="821"/>
        </w:tabs>
        <w:spacing w:before="190"/>
        <w:ind w:hanging="361"/>
      </w:pPr>
      <w:r>
        <w:rPr>
          <w:b/>
          <w:i/>
        </w:rPr>
        <w:t xml:space="preserve">Buildings: </w:t>
      </w:r>
      <w:r>
        <w:t>this is a 3D mesh model of the buildings in</w:t>
      </w:r>
      <w:r>
        <w:rPr>
          <w:spacing w:val="-12"/>
        </w:rPr>
        <w:t xml:space="preserve"> </w:t>
      </w:r>
      <w:r>
        <w:t>Portland.</w:t>
      </w:r>
    </w:p>
    <w:p w:rsidR="00C14782" w:rsidRDefault="00C14782">
      <w:pPr>
        <w:pStyle w:val="BodyText"/>
        <w:spacing w:before="3"/>
        <w:rPr>
          <w:sz w:val="27"/>
        </w:rPr>
      </w:pPr>
    </w:p>
    <w:p w:rsidR="00C14782" w:rsidRDefault="002F33BB">
      <w:pPr>
        <w:pStyle w:val="ListParagraph"/>
        <w:numPr>
          <w:ilvl w:val="0"/>
          <w:numId w:val="5"/>
        </w:numPr>
        <w:tabs>
          <w:tab w:val="left" w:pos="820"/>
          <w:tab w:val="left" w:pos="821"/>
        </w:tabs>
        <w:ind w:hanging="361"/>
      </w:pPr>
      <w:r>
        <w:rPr>
          <w:b/>
          <w:i/>
        </w:rPr>
        <w:t xml:space="preserve">Rails: </w:t>
      </w:r>
      <w:r>
        <w:t>this is a 3D line model of the rails in</w:t>
      </w:r>
      <w:r>
        <w:rPr>
          <w:spacing w:val="-10"/>
        </w:rPr>
        <w:t xml:space="preserve"> </w:t>
      </w:r>
      <w:r>
        <w:t>Portland.</w:t>
      </w:r>
    </w:p>
    <w:p w:rsidR="00C14782" w:rsidRDefault="002F33BB">
      <w:pPr>
        <w:pStyle w:val="Heading2"/>
        <w:numPr>
          <w:ilvl w:val="0"/>
          <w:numId w:val="8"/>
        </w:numPr>
        <w:tabs>
          <w:tab w:val="left" w:pos="325"/>
        </w:tabs>
        <w:spacing w:before="236"/>
        <w:ind w:hanging="225"/>
      </w:pPr>
      <w:bookmarkStart w:id="28" w:name="_bookmark27"/>
      <w:bookmarkEnd w:id="28"/>
      <w:r>
        <w:t>CSZ Hazards</w:t>
      </w:r>
      <w:r>
        <w:rPr>
          <w:spacing w:val="-10"/>
        </w:rPr>
        <w:t xml:space="preserve"> </w:t>
      </w:r>
      <w:r>
        <w:t xml:space="preserve">Tab </w:t>
      </w:r>
      <w:r>
        <w:rPr>
          <w:noProof/>
          <w:spacing w:val="-2"/>
        </w:rPr>
        <w:drawing>
          <wp:inline distT="0" distB="0" distL="0" distR="0">
            <wp:extent cx="235585" cy="235330"/>
            <wp:effectExtent l="0" t="0" r="0" b="0"/>
            <wp:docPr id="65" name="image13.png" descr="G:\CODE\O-HELP2\images\CSZ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3.png"/>
                    <pic:cNvPicPr/>
                  </pic:nvPicPr>
                  <pic:blipFill>
                    <a:blip r:embed="rId19" cstate="print"/>
                    <a:stretch>
                      <a:fillRect/>
                    </a:stretch>
                  </pic:blipFill>
                  <pic:spPr>
                    <a:xfrm>
                      <a:off x="0" y="0"/>
                      <a:ext cx="235585" cy="235330"/>
                    </a:xfrm>
                    <a:prstGeom prst="rect">
                      <a:avLst/>
                    </a:prstGeom>
                  </pic:spPr>
                </pic:pic>
              </a:graphicData>
            </a:graphic>
          </wp:inline>
        </w:drawing>
      </w:r>
    </w:p>
    <w:p w:rsidR="00C14782" w:rsidRDefault="002F33BB">
      <w:pPr>
        <w:pStyle w:val="BodyText"/>
        <w:spacing w:before="313" w:line="276" w:lineRule="auto"/>
        <w:ind w:left="100" w:right="154"/>
      </w:pPr>
      <w:r>
        <w:rPr>
          <w:sz w:val="24"/>
        </w:rPr>
        <w:t xml:space="preserve">Selecting this icon creates a box of headers that allow the user to access several hazard layers associated with scenarios M9.0, M8.7, M8.4, and M8.1 CSZ earthquake. </w:t>
      </w:r>
      <w:r>
        <w:t xml:space="preserve">The tectonic activities of the Cascadia Subduction Zone are capable of triggering great seismic events; hence, numerous layers of raster and vector data depicting such hazards associated with a M8.1, M8.4, M8.7, and M9.0 Cascadia Subduction Zone (CSZ) earthquake have been collected and uploaded to this platform. Initial versions of these data layers for the M9.0 scenario were published in the Oregon Resilience Plan (OSSPAC, 2013; </w:t>
      </w:r>
      <w:proofErr w:type="spellStart"/>
      <w:r>
        <w:t>Madin</w:t>
      </w:r>
      <w:proofErr w:type="spellEnd"/>
      <w:r>
        <w:t xml:space="preserve"> and Burns, 2013). However, Sharifi-Mood (2017) describes how the current versions of these layers were created for the different scenarios, which automated the approach of </w:t>
      </w:r>
      <w:proofErr w:type="spellStart"/>
      <w:r>
        <w:t>Madin</w:t>
      </w:r>
      <w:proofErr w:type="spellEnd"/>
      <w:r>
        <w:t xml:space="preserve"> and Burns (2013) based on input PGA </w:t>
      </w:r>
      <w:proofErr w:type="spellStart"/>
      <w:r>
        <w:t>rasters</w:t>
      </w:r>
      <w:proofErr w:type="spellEnd"/>
      <w:r>
        <w:t xml:space="preserve"> provided by the USGS as custom </w:t>
      </w:r>
      <w:proofErr w:type="spellStart"/>
      <w:r>
        <w:t>shakemap</w:t>
      </w:r>
      <w:proofErr w:type="spellEnd"/>
      <w:r>
        <w:t xml:space="preserve"> scenarios..</w:t>
      </w:r>
    </w:p>
    <w:p w:rsidR="00C14782" w:rsidRDefault="00C14782">
      <w:pPr>
        <w:pStyle w:val="BodyText"/>
        <w:spacing w:before="8"/>
        <w:rPr>
          <w:sz w:val="24"/>
        </w:rPr>
      </w:pPr>
    </w:p>
    <w:p w:rsidR="00C14782" w:rsidRDefault="002F33BB">
      <w:pPr>
        <w:ind w:left="100"/>
        <w:rPr>
          <w:i/>
        </w:rPr>
      </w:pPr>
      <w:r>
        <w:rPr>
          <w:i/>
          <w:u w:val="single"/>
        </w:rPr>
        <w:t>Earthquake Scenario Slider</w:t>
      </w:r>
    </w:p>
    <w:p w:rsidR="00C14782" w:rsidRDefault="002F33BB">
      <w:pPr>
        <w:pStyle w:val="BodyText"/>
        <w:spacing w:before="39" w:line="276" w:lineRule="auto"/>
        <w:ind w:left="100" w:right="375"/>
      </w:pPr>
      <w:r>
        <w:t>User can select between four Cascadia Subduction Zone (CSZ) earthquake scenarios of M8.1, M8.4, M8.7, and M9.0. The default values is magnitude 9.0 scenario, which changing the slider to any of the earthquake magnitude scenarios will make earthquake hazard map of that scenario available for user in the data layers of CSZ hazard tab.</w:t>
      </w:r>
    </w:p>
    <w:p w:rsidR="00C14782" w:rsidRDefault="00C14782">
      <w:pPr>
        <w:spacing w:line="276" w:lineRule="auto"/>
        <w:sectPr w:rsidR="00C14782">
          <w:pgSz w:w="12240" w:h="15840"/>
          <w:pgMar w:top="1360" w:right="1340" w:bottom="1160" w:left="1340" w:header="0" w:footer="973" w:gutter="0"/>
          <w:cols w:space="720"/>
        </w:sectPr>
      </w:pPr>
    </w:p>
    <w:p w:rsidR="00C14782" w:rsidRDefault="002F33BB">
      <w:pPr>
        <w:pStyle w:val="BodyText"/>
        <w:ind w:left="2994"/>
        <w:rPr>
          <w:sz w:val="20"/>
        </w:rPr>
      </w:pPr>
      <w:r>
        <w:rPr>
          <w:sz w:val="20"/>
        </w:rPr>
      </w:r>
      <w:r>
        <w:rPr>
          <w:sz w:val="20"/>
        </w:rPr>
        <w:pict>
          <v:group id="_x0000_s1032" style="width:178pt;height:149.1pt;mso-position-horizontal-relative:char;mso-position-vertical-relative:line" coordsize="3560,2982">
            <v:shape id="_x0000_s1034" type="#_x0000_t75" style="position:absolute;left:14;top:15;width:3530;height:2952">
              <v:imagedata r:id="rId66" o:title=""/>
            </v:shape>
            <v:rect id="_x0000_s1033" style="position:absolute;left:7;top:7;width:3545;height:2967" filled="f"/>
            <w10:anchorlock/>
          </v:group>
        </w:pict>
      </w:r>
    </w:p>
    <w:p w:rsidR="00C14782" w:rsidRDefault="00C14782">
      <w:pPr>
        <w:pStyle w:val="BodyText"/>
        <w:spacing w:before="4"/>
        <w:rPr>
          <w:sz w:val="10"/>
        </w:rPr>
      </w:pPr>
    </w:p>
    <w:p w:rsidR="00C14782" w:rsidRDefault="002F33BB">
      <w:pPr>
        <w:pStyle w:val="BodyText"/>
        <w:spacing w:before="91" w:line="278" w:lineRule="auto"/>
        <w:ind w:left="100" w:right="178"/>
      </w:pPr>
      <w:r>
        <w:t>The headers are: Ground Motion, Landslide, Liquefaction, Bridge Damage Assessment, Fault Rupture, Subsidence, and Tsunami. Selecting a header will then allow the user to select and view various data layers, as defined below, by clicking on a radio button.</w:t>
      </w:r>
    </w:p>
    <w:p w:rsidR="00C14782" w:rsidRDefault="002F33BB">
      <w:pPr>
        <w:spacing w:before="196"/>
        <w:ind w:left="100"/>
        <w:rPr>
          <w:i/>
        </w:rPr>
      </w:pPr>
      <w:r>
        <w:rPr>
          <w:i/>
          <w:u w:val="single"/>
        </w:rPr>
        <w:t>Ground Motion</w:t>
      </w:r>
    </w:p>
    <w:p w:rsidR="00C14782" w:rsidRDefault="002F33BB">
      <w:pPr>
        <w:pStyle w:val="ListParagraph"/>
        <w:numPr>
          <w:ilvl w:val="0"/>
          <w:numId w:val="4"/>
        </w:numPr>
        <w:tabs>
          <w:tab w:val="left" w:pos="820"/>
          <w:tab w:val="left" w:pos="821"/>
        </w:tabs>
        <w:spacing w:before="26" w:line="276" w:lineRule="auto"/>
        <w:ind w:right="125"/>
      </w:pPr>
      <w:r>
        <w:rPr>
          <w:b/>
          <w:i/>
        </w:rPr>
        <w:t xml:space="preserve">Modified Mercalli scale: </w:t>
      </w:r>
      <w:r>
        <w:t>a raster showing the intensity of the earthquake at the surface according to the Modified Mercalli Intensity Scale. The raster was computed using mapped PGA values provided by the USGS and a regression relationship developed in Wald et al. (1999). The Modified Mercalli Intensity Scale refers to the expected effects experienced at a place during the earthquake.</w:t>
      </w:r>
      <w:r>
        <w:rPr>
          <w:spacing w:val="12"/>
        </w:rPr>
        <w:t xml:space="preserve"> </w:t>
      </w:r>
      <w:r>
        <w:t xml:space="preserve">Lower numbers of the scale generally deal with how the earthquake is felt by people; higher numbers are based on observations of structural damage (see Table 3). For more details see: Sharifi-Mood (2017) and </w:t>
      </w:r>
      <w:proofErr w:type="spellStart"/>
      <w:r>
        <w:t>Madin</w:t>
      </w:r>
      <w:proofErr w:type="spellEnd"/>
      <w:r>
        <w:t xml:space="preserve"> and Burns</w:t>
      </w:r>
      <w:r>
        <w:rPr>
          <w:spacing w:val="2"/>
        </w:rPr>
        <w:t xml:space="preserve"> </w:t>
      </w:r>
      <w:r>
        <w:t>(2013).</w:t>
      </w:r>
    </w:p>
    <w:p w:rsidR="00C14782" w:rsidRDefault="002F33BB">
      <w:pPr>
        <w:pStyle w:val="ListParagraph"/>
        <w:numPr>
          <w:ilvl w:val="0"/>
          <w:numId w:val="4"/>
        </w:numPr>
        <w:tabs>
          <w:tab w:val="left" w:pos="820"/>
          <w:tab w:val="left" w:pos="821"/>
        </w:tabs>
        <w:spacing w:line="265" w:lineRule="exact"/>
        <w:ind w:hanging="361"/>
      </w:pPr>
      <w:r>
        <w:rPr>
          <w:b/>
          <w:i/>
        </w:rPr>
        <w:t xml:space="preserve">Peak ground acceleration (PGA): </w:t>
      </w:r>
      <w:r>
        <w:t>a raster of PGA values at the ground surface during any of</w:t>
      </w:r>
      <w:r>
        <w:rPr>
          <w:spacing w:val="-32"/>
        </w:rPr>
        <w:t xml:space="preserve"> </w:t>
      </w:r>
      <w:r>
        <w:t>the</w:t>
      </w:r>
    </w:p>
    <w:p w:rsidR="00C14782" w:rsidRDefault="002F33BB">
      <w:pPr>
        <w:pStyle w:val="BodyText"/>
        <w:spacing w:before="36" w:line="276" w:lineRule="auto"/>
        <w:ind w:left="820" w:right="123"/>
      </w:pPr>
      <w:r>
        <w:t xml:space="preserve">CSZ earthquake scenarios. This raster was created based on modeling data provided for by the USGS for each scenario. Briefly, the raster was computed using bedrock PGA values from a USGS </w:t>
      </w:r>
      <w:proofErr w:type="spellStart"/>
      <w:r>
        <w:t>Shakemap</w:t>
      </w:r>
      <w:proofErr w:type="spellEnd"/>
      <w:r>
        <w:t xml:space="preserve"> for a scenario M9.0 CSZ earthquake, a polygon feature of NEHRP site classes described above, and soil amplification relationships in </w:t>
      </w:r>
      <w:proofErr w:type="spellStart"/>
      <w:r>
        <w:t>Boore</w:t>
      </w:r>
      <w:proofErr w:type="spellEnd"/>
      <w:r>
        <w:t xml:space="preserve"> and Atkinson (2008). The M9.0 </w:t>
      </w:r>
      <w:proofErr w:type="spellStart"/>
      <w:r>
        <w:t>Shakemap</w:t>
      </w:r>
      <w:proofErr w:type="spellEnd"/>
      <w:r>
        <w:t xml:space="preserve"> is available at: </w:t>
      </w:r>
      <w:hyperlink r:id="rId67" w:anchor="download">
        <w:r>
          <w:rPr>
            <w:color w:val="0000FF"/>
            <w:u w:val="single" w:color="0000FF"/>
          </w:rPr>
          <w:t>http://earthquake.usgs.gov/earthquakes/shakemap/global/shake/Casc9.0_expanded_se/#download</w:t>
        </w:r>
      </w:hyperlink>
      <w:r>
        <w:rPr>
          <w:color w:val="0000FF"/>
        </w:rPr>
        <w:t xml:space="preserve"> </w:t>
      </w:r>
      <w:r>
        <w:t xml:space="preserve">For more details see: Sharifi-Mood (2017) and </w:t>
      </w:r>
      <w:proofErr w:type="spellStart"/>
      <w:r>
        <w:t>Madin</w:t>
      </w:r>
      <w:proofErr w:type="spellEnd"/>
      <w:r>
        <w:t xml:space="preserve"> and Burns (2013).</w:t>
      </w:r>
    </w:p>
    <w:p w:rsidR="00C14782" w:rsidRDefault="002F33BB">
      <w:pPr>
        <w:pStyle w:val="ListParagraph"/>
        <w:numPr>
          <w:ilvl w:val="0"/>
          <w:numId w:val="4"/>
        </w:numPr>
        <w:tabs>
          <w:tab w:val="left" w:pos="820"/>
          <w:tab w:val="left" w:pos="821"/>
        </w:tabs>
        <w:spacing w:line="276" w:lineRule="auto"/>
        <w:ind w:right="243"/>
      </w:pPr>
      <w:r>
        <w:rPr>
          <w:b/>
          <w:i/>
        </w:rPr>
        <w:t xml:space="preserve">Peak ground Velocity: </w:t>
      </w:r>
      <w:r>
        <w:t xml:space="preserve">a raster of PGV values at the ground surface during the CSZ earthquake scenarios. The raster was computed using bedrock one-second spectral acceleration (SA01) values from the same USGS </w:t>
      </w:r>
      <w:proofErr w:type="spellStart"/>
      <w:r>
        <w:t>Shakemap</w:t>
      </w:r>
      <w:proofErr w:type="spellEnd"/>
      <w:r>
        <w:t xml:space="preserve"> as the one used for computing the PGA raster. Then, based</w:t>
      </w:r>
      <w:r>
        <w:rPr>
          <w:spacing w:val="-2"/>
        </w:rPr>
        <w:t xml:space="preserve"> </w:t>
      </w:r>
      <w:r>
        <w:t>on</w:t>
      </w:r>
      <w:r>
        <w:rPr>
          <w:spacing w:val="-3"/>
        </w:rPr>
        <w:t xml:space="preserve"> </w:t>
      </w:r>
      <w:r>
        <w:t>the</w:t>
      </w:r>
      <w:r>
        <w:rPr>
          <w:spacing w:val="-4"/>
        </w:rPr>
        <w:t xml:space="preserve"> </w:t>
      </w:r>
      <w:r>
        <w:t>polygon</w:t>
      </w:r>
      <w:r>
        <w:rPr>
          <w:spacing w:val="-6"/>
        </w:rPr>
        <w:t xml:space="preserve"> </w:t>
      </w:r>
      <w:r>
        <w:t>feature</w:t>
      </w:r>
      <w:r>
        <w:rPr>
          <w:spacing w:val="-4"/>
        </w:rPr>
        <w:t xml:space="preserve"> </w:t>
      </w:r>
      <w:r>
        <w:t>of NEHRP</w:t>
      </w:r>
      <w:r>
        <w:rPr>
          <w:spacing w:val="-2"/>
        </w:rPr>
        <w:t xml:space="preserve"> </w:t>
      </w:r>
      <w:r>
        <w:t>site</w:t>
      </w:r>
      <w:r>
        <w:rPr>
          <w:spacing w:val="-4"/>
        </w:rPr>
        <w:t xml:space="preserve"> </w:t>
      </w:r>
      <w:r>
        <w:t>classes</w:t>
      </w:r>
      <w:r>
        <w:rPr>
          <w:spacing w:val="-4"/>
        </w:rPr>
        <w:t xml:space="preserve"> </w:t>
      </w:r>
      <w:r>
        <w:t>described</w:t>
      </w:r>
      <w:r>
        <w:rPr>
          <w:spacing w:val="-2"/>
        </w:rPr>
        <w:t xml:space="preserve"> </w:t>
      </w:r>
      <w:r>
        <w:t>above,</w:t>
      </w:r>
      <w:r>
        <w:rPr>
          <w:spacing w:val="-2"/>
        </w:rPr>
        <w:t xml:space="preserve"> </w:t>
      </w:r>
      <w:r>
        <w:t>SA01</w:t>
      </w:r>
      <w:r>
        <w:rPr>
          <w:spacing w:val="-2"/>
        </w:rPr>
        <w:t xml:space="preserve"> </w:t>
      </w:r>
      <w:r>
        <w:t>values</w:t>
      </w:r>
      <w:r>
        <w:rPr>
          <w:spacing w:val="-4"/>
        </w:rPr>
        <w:t xml:space="preserve"> </w:t>
      </w:r>
      <w:r>
        <w:t>at</w:t>
      </w:r>
      <w:r>
        <w:rPr>
          <w:spacing w:val="-4"/>
        </w:rPr>
        <w:t xml:space="preserve"> </w:t>
      </w:r>
      <w:r>
        <w:t>the</w:t>
      </w:r>
      <w:r>
        <w:rPr>
          <w:spacing w:val="-1"/>
        </w:rPr>
        <w:t xml:space="preserve"> </w:t>
      </w:r>
      <w:r>
        <w:t xml:space="preserve">ground surface were computed using soil amplification relationships in </w:t>
      </w:r>
      <w:proofErr w:type="spellStart"/>
      <w:r>
        <w:t>Boore</w:t>
      </w:r>
      <w:proofErr w:type="spellEnd"/>
      <w:r>
        <w:t xml:space="preserve"> and Atkinson (2008). Finally, the SA01 values were converted into PGV values by using the relationship described in Newmark and Hall (1982). For more details see: Sharifi-Mood (2017) and </w:t>
      </w:r>
      <w:proofErr w:type="spellStart"/>
      <w:r>
        <w:t>Madin</w:t>
      </w:r>
      <w:proofErr w:type="spellEnd"/>
      <w:r>
        <w:t xml:space="preserve"> and Burns (2013).</w:t>
      </w:r>
    </w:p>
    <w:p w:rsidR="00C14782" w:rsidRDefault="00C14782">
      <w:pPr>
        <w:spacing w:line="276" w:lineRule="auto"/>
        <w:sectPr w:rsidR="00C14782">
          <w:pgSz w:w="12240" w:h="15840"/>
          <w:pgMar w:top="1460" w:right="1340" w:bottom="1160" w:left="1340" w:header="0" w:footer="973" w:gutter="0"/>
          <w:cols w:space="720"/>
        </w:sectPr>
      </w:pPr>
    </w:p>
    <w:p w:rsidR="00C14782" w:rsidRDefault="002F33BB">
      <w:pPr>
        <w:spacing w:before="79"/>
        <w:ind w:left="1328" w:hanging="557"/>
        <w:rPr>
          <w:b/>
        </w:rPr>
      </w:pPr>
      <w:r>
        <w:rPr>
          <w:b/>
        </w:rPr>
        <w:lastRenderedPageBreak/>
        <w:t xml:space="preserve">Table 3: Abbreviated description of the 12 levels of Modified Mercalli Intensity (from </w:t>
      </w:r>
      <w:hyperlink r:id="rId68">
        <w:r>
          <w:rPr>
            <w:b/>
          </w:rPr>
          <w:t xml:space="preserve">http://earthquake.usgs.gov/learn/topics/mercalli.php, </w:t>
        </w:r>
      </w:hyperlink>
      <w:r>
        <w:rPr>
          <w:b/>
        </w:rPr>
        <w:t>accessed July 2014).</w:t>
      </w:r>
    </w:p>
    <w:p w:rsidR="00C14782" w:rsidRDefault="00C14782">
      <w:pPr>
        <w:pStyle w:val="BodyText"/>
        <w:spacing w:before="3" w:after="1"/>
        <w:rPr>
          <w:b/>
          <w:sz w:val="17"/>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9"/>
        <w:gridCol w:w="7422"/>
      </w:tblGrid>
      <w:tr w:rsidR="00C14782">
        <w:trPr>
          <w:trHeight w:val="406"/>
        </w:trPr>
        <w:tc>
          <w:tcPr>
            <w:tcW w:w="689" w:type="dxa"/>
          </w:tcPr>
          <w:p w:rsidR="00C14782" w:rsidRDefault="002F33BB">
            <w:pPr>
              <w:pStyle w:val="TableParagraph"/>
              <w:spacing w:before="78"/>
              <w:ind w:left="132" w:right="119"/>
              <w:rPr>
                <w:b/>
              </w:rPr>
            </w:pPr>
            <w:r>
              <w:rPr>
                <w:b/>
              </w:rPr>
              <w:t>No.</w:t>
            </w:r>
          </w:p>
        </w:tc>
        <w:tc>
          <w:tcPr>
            <w:tcW w:w="7422" w:type="dxa"/>
          </w:tcPr>
          <w:p w:rsidR="00C14782" w:rsidRDefault="002F33BB">
            <w:pPr>
              <w:pStyle w:val="TableParagraph"/>
              <w:spacing w:before="78"/>
              <w:ind w:left="3146" w:right="3138"/>
              <w:rPr>
                <w:b/>
              </w:rPr>
            </w:pPr>
            <w:r>
              <w:rPr>
                <w:b/>
              </w:rPr>
              <w:t>Description</w:t>
            </w:r>
          </w:p>
        </w:tc>
      </w:tr>
      <w:tr w:rsidR="00C14782">
        <w:trPr>
          <w:trHeight w:val="345"/>
        </w:trPr>
        <w:tc>
          <w:tcPr>
            <w:tcW w:w="689" w:type="dxa"/>
          </w:tcPr>
          <w:p w:rsidR="00C14782" w:rsidRDefault="002F33BB">
            <w:pPr>
              <w:pStyle w:val="TableParagraph"/>
              <w:spacing w:before="56"/>
              <w:ind w:left="12"/>
              <w:rPr>
                <w:b/>
                <w:sz w:val="20"/>
              </w:rPr>
            </w:pPr>
            <w:r>
              <w:rPr>
                <w:b/>
                <w:w w:val="99"/>
                <w:sz w:val="20"/>
              </w:rPr>
              <w:t>I</w:t>
            </w:r>
          </w:p>
        </w:tc>
        <w:tc>
          <w:tcPr>
            <w:tcW w:w="7422" w:type="dxa"/>
          </w:tcPr>
          <w:p w:rsidR="00C14782" w:rsidRDefault="002F33BB">
            <w:pPr>
              <w:pStyle w:val="TableParagraph"/>
              <w:spacing w:before="52"/>
              <w:ind w:left="58"/>
              <w:jc w:val="left"/>
              <w:rPr>
                <w:sz w:val="20"/>
              </w:rPr>
            </w:pPr>
            <w:r>
              <w:rPr>
                <w:sz w:val="20"/>
              </w:rPr>
              <w:t>Not felt except by a very few under especially favorable conditions.</w:t>
            </w:r>
          </w:p>
        </w:tc>
      </w:tr>
      <w:tr w:rsidR="00C14782">
        <w:trPr>
          <w:trHeight w:val="346"/>
        </w:trPr>
        <w:tc>
          <w:tcPr>
            <w:tcW w:w="689" w:type="dxa"/>
          </w:tcPr>
          <w:p w:rsidR="00C14782" w:rsidRDefault="002F33BB">
            <w:pPr>
              <w:pStyle w:val="TableParagraph"/>
              <w:spacing w:before="56"/>
              <w:ind w:left="132" w:right="125"/>
              <w:rPr>
                <w:b/>
                <w:sz w:val="20"/>
              </w:rPr>
            </w:pPr>
            <w:r>
              <w:rPr>
                <w:b/>
                <w:sz w:val="20"/>
              </w:rPr>
              <w:t>II</w:t>
            </w:r>
          </w:p>
        </w:tc>
        <w:tc>
          <w:tcPr>
            <w:tcW w:w="7422" w:type="dxa"/>
          </w:tcPr>
          <w:p w:rsidR="00C14782" w:rsidRDefault="002F33BB">
            <w:pPr>
              <w:pStyle w:val="TableParagraph"/>
              <w:spacing w:before="52"/>
              <w:ind w:left="58"/>
              <w:jc w:val="left"/>
              <w:rPr>
                <w:sz w:val="20"/>
              </w:rPr>
            </w:pPr>
            <w:r>
              <w:rPr>
                <w:sz w:val="20"/>
              </w:rPr>
              <w:t>Felt only by a few persons at rest, especially on upper floors of buildings.</w:t>
            </w:r>
          </w:p>
        </w:tc>
      </w:tr>
      <w:tr w:rsidR="00C14782">
        <w:trPr>
          <w:trHeight w:val="805"/>
        </w:trPr>
        <w:tc>
          <w:tcPr>
            <w:tcW w:w="689" w:type="dxa"/>
          </w:tcPr>
          <w:p w:rsidR="00C14782" w:rsidRDefault="00C14782">
            <w:pPr>
              <w:pStyle w:val="TableParagraph"/>
              <w:spacing w:before="8"/>
              <w:jc w:val="left"/>
              <w:rPr>
                <w:b/>
                <w:sz w:val="24"/>
              </w:rPr>
            </w:pPr>
          </w:p>
          <w:p w:rsidR="00C14782" w:rsidRDefault="002F33BB">
            <w:pPr>
              <w:pStyle w:val="TableParagraph"/>
              <w:ind w:left="131" w:right="128"/>
              <w:rPr>
                <w:b/>
                <w:sz w:val="20"/>
              </w:rPr>
            </w:pPr>
            <w:r>
              <w:rPr>
                <w:b/>
                <w:sz w:val="20"/>
              </w:rPr>
              <w:t>III</w:t>
            </w:r>
          </w:p>
        </w:tc>
        <w:tc>
          <w:tcPr>
            <w:tcW w:w="7422" w:type="dxa"/>
          </w:tcPr>
          <w:p w:rsidR="00C14782" w:rsidRDefault="002F33BB">
            <w:pPr>
              <w:pStyle w:val="TableParagraph"/>
              <w:spacing w:before="52"/>
              <w:ind w:left="58"/>
              <w:jc w:val="left"/>
              <w:rPr>
                <w:sz w:val="20"/>
              </w:rPr>
            </w:pPr>
            <w:r>
              <w:rPr>
                <w:sz w:val="20"/>
              </w:rPr>
              <w:t>Felt quite noticeably by persons indoors, especially on upper floors of buildings. Many people do not recognize it as an earthquake. Standing motor cars may rock slightly.</w:t>
            </w:r>
          </w:p>
          <w:p w:rsidR="00C14782" w:rsidRDefault="002F33BB">
            <w:pPr>
              <w:pStyle w:val="TableParagraph"/>
              <w:ind w:left="58"/>
              <w:jc w:val="left"/>
              <w:rPr>
                <w:sz w:val="20"/>
              </w:rPr>
            </w:pPr>
            <w:r>
              <w:rPr>
                <w:sz w:val="20"/>
              </w:rPr>
              <w:t>Vibrations similar to the passing of a truck. Duration estimated.</w:t>
            </w:r>
          </w:p>
        </w:tc>
      </w:tr>
      <w:tr w:rsidR="00C14782">
        <w:trPr>
          <w:trHeight w:val="805"/>
        </w:trPr>
        <w:tc>
          <w:tcPr>
            <w:tcW w:w="689" w:type="dxa"/>
          </w:tcPr>
          <w:p w:rsidR="00C14782" w:rsidRDefault="00C14782">
            <w:pPr>
              <w:pStyle w:val="TableParagraph"/>
              <w:spacing w:before="8"/>
              <w:jc w:val="left"/>
              <w:rPr>
                <w:b/>
                <w:sz w:val="24"/>
              </w:rPr>
            </w:pPr>
          </w:p>
          <w:p w:rsidR="00C14782" w:rsidRDefault="002F33BB">
            <w:pPr>
              <w:pStyle w:val="TableParagraph"/>
              <w:ind w:left="129" w:right="128"/>
              <w:rPr>
                <w:b/>
                <w:sz w:val="20"/>
              </w:rPr>
            </w:pPr>
            <w:r>
              <w:rPr>
                <w:b/>
                <w:sz w:val="20"/>
              </w:rPr>
              <w:t>IV</w:t>
            </w:r>
          </w:p>
        </w:tc>
        <w:tc>
          <w:tcPr>
            <w:tcW w:w="7422" w:type="dxa"/>
          </w:tcPr>
          <w:p w:rsidR="00C14782" w:rsidRDefault="002F33BB">
            <w:pPr>
              <w:pStyle w:val="TableParagraph"/>
              <w:spacing w:before="52"/>
              <w:ind w:left="58"/>
              <w:jc w:val="left"/>
              <w:rPr>
                <w:sz w:val="20"/>
              </w:rPr>
            </w:pPr>
            <w:r>
              <w:rPr>
                <w:color w:val="333333"/>
                <w:sz w:val="20"/>
              </w:rPr>
              <w:t>Felt indoors by many, outdoors by few during the day. At night, some awakened. Dishes, windows, doors disturbed; walls make cracking sound. Sensation like heavy truck striking building. Standing motor cars rocked noticeably.</w:t>
            </w:r>
          </w:p>
        </w:tc>
      </w:tr>
      <w:tr w:rsidR="00C14782">
        <w:trPr>
          <w:trHeight w:val="574"/>
        </w:trPr>
        <w:tc>
          <w:tcPr>
            <w:tcW w:w="689" w:type="dxa"/>
          </w:tcPr>
          <w:p w:rsidR="00C14782" w:rsidRDefault="002F33BB">
            <w:pPr>
              <w:pStyle w:val="TableParagraph"/>
              <w:spacing w:before="172"/>
              <w:ind w:left="7"/>
              <w:rPr>
                <w:b/>
                <w:sz w:val="20"/>
              </w:rPr>
            </w:pPr>
            <w:r>
              <w:rPr>
                <w:b/>
                <w:w w:val="99"/>
                <w:sz w:val="20"/>
              </w:rPr>
              <w:t>V</w:t>
            </w:r>
          </w:p>
        </w:tc>
        <w:tc>
          <w:tcPr>
            <w:tcW w:w="7422" w:type="dxa"/>
          </w:tcPr>
          <w:p w:rsidR="00C14782" w:rsidRDefault="002F33BB">
            <w:pPr>
              <w:pStyle w:val="TableParagraph"/>
              <w:spacing w:before="52"/>
              <w:ind w:left="58" w:right="80"/>
              <w:jc w:val="left"/>
              <w:rPr>
                <w:sz w:val="20"/>
              </w:rPr>
            </w:pPr>
            <w:r>
              <w:rPr>
                <w:color w:val="333333"/>
                <w:sz w:val="20"/>
              </w:rPr>
              <w:t>Felt by nearly everyone; many awakened. Some dishes, windows broken. Unstable objects overturned. Pendulum clocks may stop.</w:t>
            </w:r>
          </w:p>
        </w:tc>
      </w:tr>
      <w:tr w:rsidR="00C14782">
        <w:trPr>
          <w:trHeight w:val="578"/>
        </w:trPr>
        <w:tc>
          <w:tcPr>
            <w:tcW w:w="689" w:type="dxa"/>
          </w:tcPr>
          <w:p w:rsidR="00C14782" w:rsidRDefault="002F33BB">
            <w:pPr>
              <w:pStyle w:val="TableParagraph"/>
              <w:spacing w:before="172"/>
              <w:ind w:left="132" w:right="128"/>
              <w:rPr>
                <w:b/>
                <w:sz w:val="20"/>
              </w:rPr>
            </w:pPr>
            <w:r>
              <w:rPr>
                <w:b/>
                <w:sz w:val="20"/>
              </w:rPr>
              <w:t>VI</w:t>
            </w:r>
          </w:p>
        </w:tc>
        <w:tc>
          <w:tcPr>
            <w:tcW w:w="7422" w:type="dxa"/>
          </w:tcPr>
          <w:p w:rsidR="00C14782" w:rsidRDefault="002F33BB">
            <w:pPr>
              <w:pStyle w:val="TableParagraph"/>
              <w:spacing w:before="52" w:line="242" w:lineRule="auto"/>
              <w:ind w:left="58" w:right="428"/>
              <w:jc w:val="left"/>
              <w:rPr>
                <w:sz w:val="20"/>
              </w:rPr>
            </w:pPr>
            <w:r>
              <w:rPr>
                <w:color w:val="333333"/>
                <w:sz w:val="20"/>
              </w:rPr>
              <w:t>Felt by all, many frightened. Some heavy furniture moved; a few instances of fallen plaster. Damage slight.</w:t>
            </w:r>
          </w:p>
        </w:tc>
      </w:tr>
      <w:tr w:rsidR="00C14782">
        <w:trPr>
          <w:trHeight w:val="806"/>
        </w:trPr>
        <w:tc>
          <w:tcPr>
            <w:tcW w:w="689" w:type="dxa"/>
          </w:tcPr>
          <w:p w:rsidR="00C14782" w:rsidRDefault="00C14782">
            <w:pPr>
              <w:pStyle w:val="TableParagraph"/>
              <w:spacing w:before="8"/>
              <w:jc w:val="left"/>
              <w:rPr>
                <w:b/>
                <w:sz w:val="24"/>
              </w:rPr>
            </w:pPr>
          </w:p>
          <w:p w:rsidR="00C14782" w:rsidRDefault="002F33BB">
            <w:pPr>
              <w:pStyle w:val="TableParagraph"/>
              <w:ind w:left="132" w:right="124"/>
              <w:rPr>
                <w:b/>
                <w:sz w:val="20"/>
              </w:rPr>
            </w:pPr>
            <w:r>
              <w:rPr>
                <w:b/>
                <w:sz w:val="20"/>
              </w:rPr>
              <w:t>VII</w:t>
            </w:r>
          </w:p>
        </w:tc>
        <w:tc>
          <w:tcPr>
            <w:tcW w:w="7422" w:type="dxa"/>
          </w:tcPr>
          <w:p w:rsidR="00C14782" w:rsidRDefault="002F33BB">
            <w:pPr>
              <w:pStyle w:val="TableParagraph"/>
              <w:spacing w:before="52"/>
              <w:ind w:left="58" w:right="428"/>
              <w:jc w:val="left"/>
              <w:rPr>
                <w:sz w:val="20"/>
              </w:rPr>
            </w:pPr>
            <w:r>
              <w:rPr>
                <w:color w:val="333333"/>
                <w:sz w:val="20"/>
              </w:rPr>
              <w:t>Damage negligible in buildings of good design and construction; slight to moderate in well-built ordinary structures; considerable damage in poorly built or badly designed structures; some chimneys broken.</w:t>
            </w:r>
          </w:p>
        </w:tc>
      </w:tr>
      <w:tr w:rsidR="00C14782">
        <w:trPr>
          <w:trHeight w:val="806"/>
        </w:trPr>
        <w:tc>
          <w:tcPr>
            <w:tcW w:w="689" w:type="dxa"/>
          </w:tcPr>
          <w:p w:rsidR="00C14782" w:rsidRDefault="00C14782">
            <w:pPr>
              <w:pStyle w:val="TableParagraph"/>
              <w:spacing w:before="8"/>
              <w:jc w:val="left"/>
              <w:rPr>
                <w:b/>
                <w:sz w:val="24"/>
              </w:rPr>
            </w:pPr>
          </w:p>
          <w:p w:rsidR="00C14782" w:rsidRDefault="002F33BB">
            <w:pPr>
              <w:pStyle w:val="TableParagraph"/>
              <w:ind w:left="132" w:right="128"/>
              <w:rPr>
                <w:b/>
                <w:sz w:val="20"/>
              </w:rPr>
            </w:pPr>
            <w:r>
              <w:rPr>
                <w:b/>
                <w:sz w:val="20"/>
              </w:rPr>
              <w:t>VIII</w:t>
            </w:r>
          </w:p>
        </w:tc>
        <w:tc>
          <w:tcPr>
            <w:tcW w:w="7422" w:type="dxa"/>
          </w:tcPr>
          <w:p w:rsidR="00C14782" w:rsidRDefault="002F33BB">
            <w:pPr>
              <w:pStyle w:val="TableParagraph"/>
              <w:spacing w:before="52"/>
              <w:ind w:left="58" w:right="81"/>
              <w:jc w:val="left"/>
              <w:rPr>
                <w:sz w:val="20"/>
              </w:rPr>
            </w:pPr>
            <w:r>
              <w:rPr>
                <w:color w:val="333333"/>
                <w:sz w:val="20"/>
              </w:rPr>
              <w:t>Damage slight in specially designed structures; considerable damage in ordinary substantial buildings with partial collapse. Damage great in poorly built structures. Fall of chimneys, factory stacks, columns, monuments, walls. Heavy furniture overturned.</w:t>
            </w:r>
          </w:p>
        </w:tc>
      </w:tr>
      <w:tr w:rsidR="00C14782">
        <w:trPr>
          <w:trHeight w:val="806"/>
        </w:trPr>
        <w:tc>
          <w:tcPr>
            <w:tcW w:w="689" w:type="dxa"/>
          </w:tcPr>
          <w:p w:rsidR="00C14782" w:rsidRDefault="00C14782">
            <w:pPr>
              <w:pStyle w:val="TableParagraph"/>
              <w:spacing w:before="8"/>
              <w:jc w:val="left"/>
              <w:rPr>
                <w:b/>
                <w:sz w:val="24"/>
              </w:rPr>
            </w:pPr>
          </w:p>
          <w:p w:rsidR="00C14782" w:rsidRDefault="002F33BB">
            <w:pPr>
              <w:pStyle w:val="TableParagraph"/>
              <w:ind w:left="129" w:right="128"/>
              <w:rPr>
                <w:b/>
                <w:sz w:val="20"/>
              </w:rPr>
            </w:pPr>
            <w:r>
              <w:rPr>
                <w:b/>
                <w:sz w:val="20"/>
              </w:rPr>
              <w:t>IX</w:t>
            </w:r>
          </w:p>
        </w:tc>
        <w:tc>
          <w:tcPr>
            <w:tcW w:w="7422" w:type="dxa"/>
          </w:tcPr>
          <w:p w:rsidR="00C14782" w:rsidRDefault="002F33BB">
            <w:pPr>
              <w:pStyle w:val="TableParagraph"/>
              <w:spacing w:before="52"/>
              <w:ind w:left="58" w:right="480"/>
              <w:jc w:val="left"/>
              <w:rPr>
                <w:sz w:val="20"/>
              </w:rPr>
            </w:pPr>
            <w:r>
              <w:rPr>
                <w:color w:val="333333"/>
                <w:sz w:val="20"/>
              </w:rPr>
              <w:t>Damage considerable in specially designed structures; well-designed frame structures thrown out of plumb. Damage great in substantial buildings, with partial collapse.</w:t>
            </w:r>
          </w:p>
          <w:p w:rsidR="00C14782" w:rsidRDefault="002F33BB">
            <w:pPr>
              <w:pStyle w:val="TableParagraph"/>
              <w:ind w:left="58"/>
              <w:jc w:val="left"/>
              <w:rPr>
                <w:sz w:val="20"/>
              </w:rPr>
            </w:pPr>
            <w:r>
              <w:rPr>
                <w:color w:val="333333"/>
                <w:sz w:val="20"/>
              </w:rPr>
              <w:t>Buildings shifted off foundations.</w:t>
            </w:r>
          </w:p>
        </w:tc>
      </w:tr>
      <w:tr w:rsidR="00C14782">
        <w:trPr>
          <w:trHeight w:val="573"/>
        </w:trPr>
        <w:tc>
          <w:tcPr>
            <w:tcW w:w="689" w:type="dxa"/>
          </w:tcPr>
          <w:p w:rsidR="00C14782" w:rsidRDefault="002F33BB">
            <w:pPr>
              <w:pStyle w:val="TableParagraph"/>
              <w:spacing w:before="172"/>
              <w:ind w:left="7"/>
              <w:rPr>
                <w:b/>
                <w:sz w:val="20"/>
              </w:rPr>
            </w:pPr>
            <w:r>
              <w:rPr>
                <w:b/>
                <w:w w:val="99"/>
                <w:sz w:val="20"/>
              </w:rPr>
              <w:t>X</w:t>
            </w:r>
          </w:p>
        </w:tc>
        <w:tc>
          <w:tcPr>
            <w:tcW w:w="7422" w:type="dxa"/>
          </w:tcPr>
          <w:p w:rsidR="00C14782" w:rsidRDefault="002F33BB">
            <w:pPr>
              <w:pStyle w:val="TableParagraph"/>
              <w:spacing w:before="52"/>
              <w:ind w:left="58" w:right="796"/>
              <w:jc w:val="left"/>
              <w:rPr>
                <w:sz w:val="20"/>
              </w:rPr>
            </w:pPr>
            <w:r>
              <w:rPr>
                <w:color w:val="333333"/>
                <w:sz w:val="20"/>
              </w:rPr>
              <w:t>Some well-built wooden structures destroyed; most masonry and frame structures destroyed with foundations. Rails bent.</w:t>
            </w:r>
          </w:p>
        </w:tc>
      </w:tr>
      <w:tr w:rsidR="00C14782">
        <w:trPr>
          <w:trHeight w:val="346"/>
        </w:trPr>
        <w:tc>
          <w:tcPr>
            <w:tcW w:w="689" w:type="dxa"/>
          </w:tcPr>
          <w:p w:rsidR="00C14782" w:rsidRDefault="002F33BB">
            <w:pPr>
              <w:pStyle w:val="TableParagraph"/>
              <w:spacing w:before="56"/>
              <w:ind w:left="132" w:right="128"/>
              <w:rPr>
                <w:b/>
                <w:sz w:val="20"/>
              </w:rPr>
            </w:pPr>
            <w:r>
              <w:rPr>
                <w:b/>
                <w:sz w:val="20"/>
              </w:rPr>
              <w:t>XI</w:t>
            </w:r>
          </w:p>
        </w:tc>
        <w:tc>
          <w:tcPr>
            <w:tcW w:w="7422" w:type="dxa"/>
          </w:tcPr>
          <w:p w:rsidR="00C14782" w:rsidRDefault="002F33BB">
            <w:pPr>
              <w:pStyle w:val="TableParagraph"/>
              <w:spacing w:before="52"/>
              <w:ind w:left="58"/>
              <w:jc w:val="left"/>
              <w:rPr>
                <w:sz w:val="20"/>
              </w:rPr>
            </w:pPr>
            <w:r>
              <w:rPr>
                <w:color w:val="333333"/>
                <w:sz w:val="20"/>
              </w:rPr>
              <w:t>Few, if any (masonry) structures remain standing. Bridges destroyed. Rails bent greatly.</w:t>
            </w:r>
          </w:p>
        </w:tc>
      </w:tr>
      <w:tr w:rsidR="00C14782">
        <w:trPr>
          <w:trHeight w:val="350"/>
        </w:trPr>
        <w:tc>
          <w:tcPr>
            <w:tcW w:w="689" w:type="dxa"/>
          </w:tcPr>
          <w:p w:rsidR="00C14782" w:rsidRDefault="002F33BB">
            <w:pPr>
              <w:pStyle w:val="TableParagraph"/>
              <w:spacing w:before="56"/>
              <w:ind w:left="132" w:right="124"/>
              <w:rPr>
                <w:b/>
                <w:sz w:val="20"/>
              </w:rPr>
            </w:pPr>
            <w:r>
              <w:rPr>
                <w:b/>
                <w:sz w:val="20"/>
              </w:rPr>
              <w:t>XII</w:t>
            </w:r>
          </w:p>
        </w:tc>
        <w:tc>
          <w:tcPr>
            <w:tcW w:w="7422" w:type="dxa"/>
          </w:tcPr>
          <w:p w:rsidR="00C14782" w:rsidRDefault="002F33BB">
            <w:pPr>
              <w:pStyle w:val="TableParagraph"/>
              <w:spacing w:before="52"/>
              <w:ind w:left="110"/>
              <w:jc w:val="left"/>
              <w:rPr>
                <w:sz w:val="20"/>
              </w:rPr>
            </w:pPr>
            <w:r>
              <w:rPr>
                <w:color w:val="333333"/>
                <w:sz w:val="20"/>
              </w:rPr>
              <w:t>Damage total. Lines of sight and level are distorted. Objects thrown into the air.</w:t>
            </w:r>
          </w:p>
        </w:tc>
      </w:tr>
    </w:tbl>
    <w:p w:rsidR="00C14782" w:rsidRDefault="00C14782">
      <w:pPr>
        <w:pStyle w:val="BodyText"/>
        <w:spacing w:before="4"/>
        <w:rPr>
          <w:b/>
          <w:sz w:val="24"/>
        </w:rPr>
      </w:pPr>
    </w:p>
    <w:p w:rsidR="00C14782" w:rsidRDefault="002F33BB">
      <w:pPr>
        <w:pStyle w:val="ListParagraph"/>
        <w:numPr>
          <w:ilvl w:val="0"/>
          <w:numId w:val="4"/>
        </w:numPr>
        <w:tabs>
          <w:tab w:val="left" w:pos="820"/>
          <w:tab w:val="left" w:pos="821"/>
        </w:tabs>
        <w:spacing w:line="276" w:lineRule="auto"/>
        <w:ind w:right="117"/>
      </w:pPr>
      <w:r>
        <w:rPr>
          <w:b/>
          <w:i/>
        </w:rPr>
        <w:t xml:space="preserve">Short period spectral response: </w:t>
      </w:r>
      <w:r>
        <w:t xml:space="preserve">This layer provide raster of surficial 0.3-second spectral acceleration values for the selected CSZ earthquake scenario from the scenario slider. This raster was computed using bedrock 0.3 second spectral acceleration values from the same USGS </w:t>
      </w:r>
      <w:proofErr w:type="spellStart"/>
      <w:r>
        <w:t>Shakemap</w:t>
      </w:r>
      <w:proofErr w:type="spellEnd"/>
      <w:r>
        <w:t xml:space="preserve"> as the one used for computing the PGA raster depicted in O-HELP. Then, based on the polygon</w:t>
      </w:r>
      <w:r>
        <w:rPr>
          <w:spacing w:val="-6"/>
        </w:rPr>
        <w:t xml:space="preserve"> </w:t>
      </w:r>
      <w:r>
        <w:t>feature</w:t>
      </w:r>
      <w:r>
        <w:rPr>
          <w:spacing w:val="-5"/>
        </w:rPr>
        <w:t xml:space="preserve"> </w:t>
      </w:r>
      <w:r>
        <w:t>of</w:t>
      </w:r>
      <w:r>
        <w:rPr>
          <w:spacing w:val="-1"/>
        </w:rPr>
        <w:t xml:space="preserve"> </w:t>
      </w:r>
      <w:r>
        <w:t>NEHRP</w:t>
      </w:r>
      <w:r>
        <w:rPr>
          <w:spacing w:val="-2"/>
        </w:rPr>
        <w:t xml:space="preserve"> </w:t>
      </w:r>
      <w:r>
        <w:t>site</w:t>
      </w:r>
      <w:r>
        <w:rPr>
          <w:spacing w:val="-5"/>
        </w:rPr>
        <w:t xml:space="preserve"> </w:t>
      </w:r>
      <w:r>
        <w:t>classes</w:t>
      </w:r>
      <w:r>
        <w:rPr>
          <w:spacing w:val="-5"/>
        </w:rPr>
        <w:t xml:space="preserve"> </w:t>
      </w:r>
      <w:r>
        <w:t>described</w:t>
      </w:r>
      <w:r>
        <w:rPr>
          <w:spacing w:val="-2"/>
        </w:rPr>
        <w:t xml:space="preserve"> </w:t>
      </w:r>
      <w:r>
        <w:t>above,</w:t>
      </w:r>
      <w:r>
        <w:rPr>
          <w:spacing w:val="-3"/>
        </w:rPr>
        <w:t xml:space="preserve"> </w:t>
      </w:r>
      <w:r>
        <w:t>SA0p3</w:t>
      </w:r>
      <w:r>
        <w:rPr>
          <w:spacing w:val="-2"/>
        </w:rPr>
        <w:t xml:space="preserve"> </w:t>
      </w:r>
      <w:r>
        <w:t>values</w:t>
      </w:r>
      <w:r>
        <w:rPr>
          <w:spacing w:val="-5"/>
        </w:rPr>
        <w:t xml:space="preserve"> </w:t>
      </w:r>
      <w:r>
        <w:t>at</w:t>
      </w:r>
      <w:r>
        <w:rPr>
          <w:spacing w:val="-1"/>
        </w:rPr>
        <w:t xml:space="preserve"> </w:t>
      </w:r>
      <w:r>
        <w:t>the</w:t>
      </w:r>
      <w:r>
        <w:rPr>
          <w:spacing w:val="-1"/>
        </w:rPr>
        <w:t xml:space="preserve"> </w:t>
      </w:r>
      <w:r>
        <w:t>ground</w:t>
      </w:r>
      <w:r>
        <w:rPr>
          <w:spacing w:val="-2"/>
        </w:rPr>
        <w:t xml:space="preserve"> </w:t>
      </w:r>
      <w:r>
        <w:t>surface</w:t>
      </w:r>
      <w:r>
        <w:rPr>
          <w:spacing w:val="-5"/>
        </w:rPr>
        <w:t xml:space="preserve"> </w:t>
      </w:r>
      <w:r>
        <w:t xml:space="preserve">were computed using soil amplification relationships in </w:t>
      </w:r>
      <w:proofErr w:type="spellStart"/>
      <w:r>
        <w:t>Boore</w:t>
      </w:r>
      <w:proofErr w:type="spellEnd"/>
      <w:r>
        <w:t xml:space="preserve"> and Atkinson (2008). For more details see: Sharifi-Mood (2017) and </w:t>
      </w:r>
      <w:proofErr w:type="spellStart"/>
      <w:r>
        <w:t>Madin</w:t>
      </w:r>
      <w:proofErr w:type="spellEnd"/>
      <w:r>
        <w:t xml:space="preserve"> and Burns</w:t>
      </w:r>
      <w:r>
        <w:rPr>
          <w:spacing w:val="1"/>
        </w:rPr>
        <w:t xml:space="preserve"> </w:t>
      </w:r>
      <w:r>
        <w:t>(2013).</w:t>
      </w:r>
    </w:p>
    <w:p w:rsidR="00C14782" w:rsidRDefault="002F33BB">
      <w:pPr>
        <w:pStyle w:val="ListParagraph"/>
        <w:numPr>
          <w:ilvl w:val="0"/>
          <w:numId w:val="4"/>
        </w:numPr>
        <w:tabs>
          <w:tab w:val="left" w:pos="820"/>
          <w:tab w:val="left" w:pos="821"/>
        </w:tabs>
        <w:spacing w:line="265" w:lineRule="exact"/>
        <w:ind w:hanging="361"/>
      </w:pPr>
      <w:r>
        <w:rPr>
          <w:b/>
          <w:i/>
        </w:rPr>
        <w:t xml:space="preserve">One second spectral response: </w:t>
      </w:r>
      <w:r>
        <w:t>a raster of one-second spectral acceleration values at the</w:t>
      </w:r>
      <w:r>
        <w:rPr>
          <w:spacing w:val="-29"/>
        </w:rPr>
        <w:t xml:space="preserve"> </w:t>
      </w:r>
      <w:r>
        <w:t>ground</w:t>
      </w:r>
    </w:p>
    <w:p w:rsidR="00C14782" w:rsidRDefault="002F33BB">
      <w:pPr>
        <w:pStyle w:val="BodyText"/>
        <w:spacing w:before="33" w:line="276" w:lineRule="auto"/>
        <w:ind w:left="820" w:right="178"/>
      </w:pPr>
      <w:r>
        <w:t xml:space="preserve">surface during the CSZ earthquake scenarios. This raster was computed using bedrock one- second spectral acceleration (SA01) values from the same USGS </w:t>
      </w:r>
      <w:proofErr w:type="spellStart"/>
      <w:r>
        <w:t>Shakemap</w:t>
      </w:r>
      <w:proofErr w:type="spellEnd"/>
      <w:r>
        <w:t xml:space="preserve"> as the one used for computing the PGA raster depicted in O-HELP. Then, based on the polygon feature of NEHRP site classes described above, SA01 values at the ground surface were computed using soil amplification relationships in </w:t>
      </w:r>
      <w:proofErr w:type="spellStart"/>
      <w:r>
        <w:t>Boore</w:t>
      </w:r>
      <w:proofErr w:type="spellEnd"/>
      <w:r>
        <w:t xml:space="preserve"> and Atkinson (2008). For more details see: Sharifi-Mood (2017) and </w:t>
      </w:r>
      <w:proofErr w:type="spellStart"/>
      <w:r>
        <w:t>Madin</w:t>
      </w:r>
      <w:proofErr w:type="spellEnd"/>
      <w:r>
        <w:t xml:space="preserve"> and Burns (2013).</w:t>
      </w:r>
    </w:p>
    <w:p w:rsidR="00C14782" w:rsidRDefault="00C14782">
      <w:pPr>
        <w:spacing w:line="276" w:lineRule="auto"/>
        <w:sectPr w:rsidR="00C14782">
          <w:pgSz w:w="12240" w:h="15840"/>
          <w:pgMar w:top="1360" w:right="1340" w:bottom="1160" w:left="1340" w:header="0" w:footer="973" w:gutter="0"/>
          <w:cols w:space="720"/>
        </w:sectPr>
      </w:pPr>
    </w:p>
    <w:p w:rsidR="00C14782" w:rsidRDefault="002F33BB">
      <w:pPr>
        <w:spacing w:before="79"/>
        <w:ind w:left="100"/>
        <w:rPr>
          <w:i/>
        </w:rPr>
      </w:pPr>
      <w:r>
        <w:rPr>
          <w:i/>
          <w:u w:val="single"/>
        </w:rPr>
        <w:lastRenderedPageBreak/>
        <w:t>Landslides</w:t>
      </w:r>
    </w:p>
    <w:p w:rsidR="00C14782" w:rsidRDefault="002F33BB">
      <w:pPr>
        <w:pStyle w:val="ListParagraph"/>
        <w:numPr>
          <w:ilvl w:val="0"/>
          <w:numId w:val="4"/>
        </w:numPr>
        <w:tabs>
          <w:tab w:val="left" w:pos="820"/>
          <w:tab w:val="left" w:pos="821"/>
        </w:tabs>
        <w:spacing w:before="29" w:line="276" w:lineRule="auto"/>
        <w:ind w:right="131"/>
      </w:pPr>
      <w:r>
        <w:rPr>
          <w:b/>
          <w:i/>
        </w:rPr>
        <w:t>Landslide</w:t>
      </w:r>
      <w:r>
        <w:rPr>
          <w:b/>
          <w:i/>
          <w:spacing w:val="-6"/>
        </w:rPr>
        <w:t xml:space="preserve"> </w:t>
      </w:r>
      <w:r>
        <w:rPr>
          <w:b/>
          <w:i/>
        </w:rPr>
        <w:t>triggering</w:t>
      </w:r>
      <w:r>
        <w:rPr>
          <w:b/>
          <w:i/>
          <w:spacing w:val="-2"/>
        </w:rPr>
        <w:t xml:space="preserve"> </w:t>
      </w:r>
      <w:r>
        <w:rPr>
          <w:b/>
          <w:i/>
        </w:rPr>
        <w:t>probability:</w:t>
      </w:r>
      <w:r>
        <w:rPr>
          <w:b/>
          <w:i/>
          <w:spacing w:val="-2"/>
        </w:rPr>
        <w:t xml:space="preserve"> </w:t>
      </w:r>
      <w:r>
        <w:t>a</w:t>
      </w:r>
      <w:r>
        <w:rPr>
          <w:spacing w:val="-6"/>
        </w:rPr>
        <w:t xml:space="preserve"> </w:t>
      </w:r>
      <w:r>
        <w:t>raster</w:t>
      </w:r>
      <w:r>
        <w:rPr>
          <w:spacing w:val="-5"/>
        </w:rPr>
        <w:t xml:space="preserve"> </w:t>
      </w:r>
      <w:r>
        <w:t>depicting</w:t>
      </w:r>
      <w:r>
        <w:rPr>
          <w:spacing w:val="-6"/>
        </w:rPr>
        <w:t xml:space="preserve"> </w:t>
      </w:r>
      <w:r>
        <w:t>landslide</w:t>
      </w:r>
      <w:r>
        <w:rPr>
          <w:spacing w:val="-6"/>
        </w:rPr>
        <w:t xml:space="preserve"> </w:t>
      </w:r>
      <w:r>
        <w:t>triggering</w:t>
      </w:r>
      <w:r>
        <w:rPr>
          <w:spacing w:val="-6"/>
        </w:rPr>
        <w:t xml:space="preserve"> </w:t>
      </w:r>
      <w:r>
        <w:t>probabilities</w:t>
      </w:r>
      <w:r>
        <w:rPr>
          <w:spacing w:val="-5"/>
        </w:rPr>
        <w:t xml:space="preserve"> </w:t>
      </w:r>
      <w:r>
        <w:t>given</w:t>
      </w:r>
      <w:r>
        <w:rPr>
          <w:spacing w:val="-7"/>
        </w:rPr>
        <w:t xml:space="preserve"> </w:t>
      </w:r>
      <w:r>
        <w:t>a</w:t>
      </w:r>
      <w:r>
        <w:rPr>
          <w:spacing w:val="-1"/>
        </w:rPr>
        <w:t xml:space="preserve"> </w:t>
      </w:r>
      <w:r>
        <w:t>CSZ earthquake scenario of M8.1, M8.4, M8.7 and M9.0. Briefly, the raster was computed using the model described in section 4.2.2.2 of HAZUS-MH MR4 software (FEMA, 2011). A custom landslide susceptibility map developed by DOGAMI and the PGA raster depicted in O-HELP were used in this model. Then, following HAZUS (FEMA, 2011) recommendations, the probabilities of landslide triggering were scaled to a maximum of 30%. For more details see: Sharifi-Mood</w:t>
      </w:r>
      <w:r>
        <w:rPr>
          <w:spacing w:val="1"/>
        </w:rPr>
        <w:t xml:space="preserve"> </w:t>
      </w:r>
      <w:r>
        <w:t>(2017).</w:t>
      </w:r>
    </w:p>
    <w:p w:rsidR="00C14782" w:rsidRDefault="002F33BB">
      <w:pPr>
        <w:pStyle w:val="ListParagraph"/>
        <w:numPr>
          <w:ilvl w:val="0"/>
          <w:numId w:val="4"/>
        </w:numPr>
        <w:tabs>
          <w:tab w:val="left" w:pos="820"/>
          <w:tab w:val="left" w:pos="821"/>
        </w:tabs>
        <w:spacing w:line="265" w:lineRule="exact"/>
        <w:ind w:hanging="361"/>
      </w:pPr>
      <w:r>
        <w:rPr>
          <w:b/>
          <w:i/>
        </w:rPr>
        <w:t xml:space="preserve">Landslide displacement: </w:t>
      </w:r>
      <w:r>
        <w:t>a raster depicting landslide displacement given a CSZ</w:t>
      </w:r>
      <w:r>
        <w:rPr>
          <w:spacing w:val="-26"/>
        </w:rPr>
        <w:t xml:space="preserve"> </w:t>
      </w:r>
      <w:r>
        <w:t>earthquake</w:t>
      </w:r>
    </w:p>
    <w:p w:rsidR="00C14782" w:rsidRDefault="002F33BB">
      <w:pPr>
        <w:pStyle w:val="BodyText"/>
        <w:spacing w:before="32" w:line="276" w:lineRule="auto"/>
        <w:ind w:left="820" w:right="154"/>
      </w:pPr>
      <w:r>
        <w:t xml:space="preserve">scenario of M8.1, M8.4, M8.7 and M9.0. Briefly, the raster was computed using the model described in section 4.2.2.2 of HAZUS-MH MR4 software (FEMA, 2011). A custom landslide susceptibility map developed by DOGAMI and the PGA raster depicted in O-HELP were used in this model. Then, following HAZUS (FEMA, 2011) equation 4-25, the permanent ground displacement of peak ground displacement was computed. For more details see: Sharifi-Mood (2017) and </w:t>
      </w:r>
      <w:proofErr w:type="spellStart"/>
      <w:r>
        <w:t>Madin</w:t>
      </w:r>
      <w:proofErr w:type="spellEnd"/>
      <w:r>
        <w:t xml:space="preserve"> and Burns (2013).</w:t>
      </w:r>
    </w:p>
    <w:p w:rsidR="00C14782" w:rsidRDefault="00C14782">
      <w:pPr>
        <w:pStyle w:val="BodyText"/>
        <w:rPr>
          <w:sz w:val="24"/>
        </w:rPr>
      </w:pPr>
    </w:p>
    <w:p w:rsidR="00C14782" w:rsidRDefault="00C14782">
      <w:pPr>
        <w:pStyle w:val="BodyText"/>
        <w:rPr>
          <w:sz w:val="19"/>
        </w:rPr>
      </w:pPr>
    </w:p>
    <w:p w:rsidR="00C14782" w:rsidRDefault="002F33BB">
      <w:pPr>
        <w:ind w:left="100"/>
        <w:rPr>
          <w:i/>
        </w:rPr>
      </w:pPr>
      <w:r>
        <w:rPr>
          <w:i/>
          <w:u w:val="single"/>
        </w:rPr>
        <w:t>Liquefaction</w:t>
      </w:r>
    </w:p>
    <w:p w:rsidR="00C14782" w:rsidRDefault="002F33BB">
      <w:pPr>
        <w:pStyle w:val="ListParagraph"/>
        <w:numPr>
          <w:ilvl w:val="0"/>
          <w:numId w:val="4"/>
        </w:numPr>
        <w:tabs>
          <w:tab w:val="left" w:pos="820"/>
          <w:tab w:val="left" w:pos="821"/>
        </w:tabs>
        <w:spacing w:before="26" w:line="276" w:lineRule="auto"/>
        <w:ind w:right="220"/>
      </w:pPr>
      <w:r>
        <w:rPr>
          <w:b/>
          <w:i/>
        </w:rPr>
        <w:t>Liquefaction</w:t>
      </w:r>
      <w:r>
        <w:rPr>
          <w:b/>
          <w:i/>
          <w:spacing w:val="-4"/>
        </w:rPr>
        <w:t xml:space="preserve"> </w:t>
      </w:r>
      <w:r>
        <w:rPr>
          <w:b/>
          <w:i/>
        </w:rPr>
        <w:t>triggering</w:t>
      </w:r>
      <w:r>
        <w:rPr>
          <w:b/>
          <w:i/>
          <w:spacing w:val="-8"/>
        </w:rPr>
        <w:t xml:space="preserve"> </w:t>
      </w:r>
      <w:r>
        <w:rPr>
          <w:b/>
          <w:i/>
        </w:rPr>
        <w:t>probability:</w:t>
      </w:r>
      <w:r>
        <w:rPr>
          <w:b/>
          <w:i/>
          <w:spacing w:val="-2"/>
        </w:rPr>
        <w:t xml:space="preserve"> </w:t>
      </w:r>
      <w:r>
        <w:t>a</w:t>
      </w:r>
      <w:r>
        <w:rPr>
          <w:spacing w:val="-6"/>
        </w:rPr>
        <w:t xml:space="preserve"> </w:t>
      </w:r>
      <w:r>
        <w:t>raster</w:t>
      </w:r>
      <w:r>
        <w:rPr>
          <w:spacing w:val="-6"/>
        </w:rPr>
        <w:t xml:space="preserve"> </w:t>
      </w:r>
      <w:r>
        <w:t>depicting</w:t>
      </w:r>
      <w:r>
        <w:rPr>
          <w:spacing w:val="-8"/>
        </w:rPr>
        <w:t xml:space="preserve"> </w:t>
      </w:r>
      <w:r>
        <w:t>liquefaction</w:t>
      </w:r>
      <w:r>
        <w:rPr>
          <w:spacing w:val="-7"/>
        </w:rPr>
        <w:t xml:space="preserve"> </w:t>
      </w:r>
      <w:r>
        <w:t>triggering</w:t>
      </w:r>
      <w:r>
        <w:rPr>
          <w:spacing w:val="-8"/>
        </w:rPr>
        <w:t xml:space="preserve"> </w:t>
      </w:r>
      <w:r>
        <w:t>probabilities</w:t>
      </w:r>
      <w:r>
        <w:rPr>
          <w:spacing w:val="-6"/>
        </w:rPr>
        <w:t xml:space="preserve"> </w:t>
      </w:r>
      <w:r>
        <w:t xml:space="preserve">given a CSZ earthquake scenario of M8.1, M8.4, M8.7 and M9.0. Briefly, the raster was computed using the model described in section 4.2.2.1 of HAZUS-MH MR4 software (FEMA, 2011). A custom liquefaction susceptibility map developed by DOGAMI and the PGA raster depicted in O-HELP were used in this model. Then, following HAZUS (FEMA, 2011) recommendations, the probabilities of liquefaction triggering were scaled to a maximum of 30%. For more details see: Sharifi-Mood (2017) and </w:t>
      </w:r>
      <w:proofErr w:type="spellStart"/>
      <w:r>
        <w:t>Madin</w:t>
      </w:r>
      <w:proofErr w:type="spellEnd"/>
      <w:r>
        <w:t xml:space="preserve"> and Burns</w:t>
      </w:r>
      <w:r>
        <w:rPr>
          <w:spacing w:val="2"/>
        </w:rPr>
        <w:t xml:space="preserve"> </w:t>
      </w:r>
      <w:r>
        <w:t>(2013).</w:t>
      </w:r>
    </w:p>
    <w:p w:rsidR="00C14782" w:rsidRDefault="002F33BB">
      <w:pPr>
        <w:pStyle w:val="ListParagraph"/>
        <w:numPr>
          <w:ilvl w:val="0"/>
          <w:numId w:val="4"/>
        </w:numPr>
        <w:tabs>
          <w:tab w:val="left" w:pos="820"/>
          <w:tab w:val="left" w:pos="821"/>
        </w:tabs>
        <w:spacing w:line="265" w:lineRule="exact"/>
        <w:ind w:hanging="361"/>
      </w:pPr>
      <w:r>
        <w:rPr>
          <w:b/>
          <w:i/>
        </w:rPr>
        <w:t xml:space="preserve">Lateral spreading: </w:t>
      </w:r>
      <w:r>
        <w:t>a raster depicting lateral spreading given a CSZ earthquake scenario of</w:t>
      </w:r>
      <w:r>
        <w:rPr>
          <w:spacing w:val="-31"/>
        </w:rPr>
        <w:t xml:space="preserve"> </w:t>
      </w:r>
      <w:r>
        <w:t>M8.1,</w:t>
      </w:r>
    </w:p>
    <w:p w:rsidR="00C14782" w:rsidRDefault="002F33BB">
      <w:pPr>
        <w:pStyle w:val="BodyText"/>
        <w:spacing w:before="36"/>
        <w:ind w:left="820"/>
      </w:pPr>
      <w:r>
        <w:t>M8.4, M8.7 and M9.0. Briefly, the raster was computed using the model described in section</w:t>
      </w:r>
    </w:p>
    <w:p w:rsidR="00C14782" w:rsidRDefault="002F33BB">
      <w:pPr>
        <w:pStyle w:val="BodyText"/>
        <w:spacing w:before="39" w:line="276" w:lineRule="auto"/>
        <w:ind w:left="820"/>
      </w:pPr>
      <w:r>
        <w:t xml:space="preserve">4.2.2.1 of HAZUS-MH MR4 software (FEMA, 2011). A custom liquefaction susceptibility map developed by DOGAMI and the PGA raster depicted in O-HELP were used in this model. Then, following HAZUS (FEMA, 2011) equation 4-23, the liquefaction-induced lateral spreading was computed. For more details see: Sharifi-Mood (2017) and </w:t>
      </w:r>
      <w:proofErr w:type="spellStart"/>
      <w:r>
        <w:t>Madin</w:t>
      </w:r>
      <w:proofErr w:type="spellEnd"/>
      <w:r>
        <w:t xml:space="preserve"> and Burns (2013).</w:t>
      </w:r>
    </w:p>
    <w:p w:rsidR="00C14782" w:rsidRDefault="002F33BB">
      <w:pPr>
        <w:spacing w:before="200"/>
        <w:ind w:left="100"/>
        <w:jc w:val="both"/>
        <w:rPr>
          <w:i/>
        </w:rPr>
      </w:pPr>
      <w:r>
        <w:rPr>
          <w:i/>
          <w:u w:val="single"/>
        </w:rPr>
        <w:t>Bridge Damage Assessment</w:t>
      </w:r>
    </w:p>
    <w:p w:rsidR="00C14782" w:rsidRDefault="002F33BB">
      <w:pPr>
        <w:pStyle w:val="BodyText"/>
        <w:spacing w:before="36" w:line="276" w:lineRule="auto"/>
        <w:ind w:left="820" w:right="361"/>
        <w:jc w:val="both"/>
      </w:pPr>
      <w:r>
        <w:t>These layers show the results of a bridge damage assessment completed by Burns (2015). This study compared the vulnerabilities of bridges combining effects of earthquake-induced ground shaking, ground failure (e.g., landslides and lateral spreading), and tsunami inundation. Two of the scenarios are provided:</w:t>
      </w:r>
    </w:p>
    <w:p w:rsidR="00C14782" w:rsidRDefault="002F33BB">
      <w:pPr>
        <w:pStyle w:val="ListParagraph"/>
        <w:numPr>
          <w:ilvl w:val="0"/>
          <w:numId w:val="4"/>
        </w:numPr>
        <w:tabs>
          <w:tab w:val="left" w:pos="820"/>
          <w:tab w:val="left" w:pos="821"/>
        </w:tabs>
        <w:spacing w:before="190" w:line="271" w:lineRule="auto"/>
        <w:ind w:right="878"/>
      </w:pPr>
      <w:r>
        <w:rPr>
          <w:b/>
          <w:i/>
        </w:rPr>
        <w:t xml:space="preserve">Using HAZUS-MH Fragility Functions: </w:t>
      </w:r>
      <w:r>
        <w:t>a bridge damage map for the selected</w:t>
      </w:r>
      <w:r>
        <w:rPr>
          <w:spacing w:val="-38"/>
        </w:rPr>
        <w:t xml:space="preserve"> </w:t>
      </w:r>
      <w:r>
        <w:t>Cascadia subduction zone earthquake scenario using HAZUS-MH fragility</w:t>
      </w:r>
      <w:r>
        <w:rPr>
          <w:spacing w:val="-9"/>
        </w:rPr>
        <w:t xml:space="preserve"> </w:t>
      </w:r>
      <w:r>
        <w:t>functions.</w:t>
      </w:r>
    </w:p>
    <w:p w:rsidR="00C14782" w:rsidRDefault="002F33BB">
      <w:pPr>
        <w:pStyle w:val="ListParagraph"/>
        <w:numPr>
          <w:ilvl w:val="0"/>
          <w:numId w:val="4"/>
        </w:numPr>
        <w:tabs>
          <w:tab w:val="left" w:pos="820"/>
          <w:tab w:val="left" w:pos="821"/>
        </w:tabs>
        <w:spacing w:line="271" w:lineRule="auto"/>
        <w:ind w:right="223"/>
      </w:pPr>
      <w:r>
        <w:rPr>
          <w:b/>
          <w:i/>
        </w:rPr>
        <w:t xml:space="preserve">Using EQ+LS+LQ Fragility Functions: </w:t>
      </w:r>
      <w:r>
        <w:t>a bridge damage map for the selected Cascadia subduction</w:t>
      </w:r>
      <w:r>
        <w:rPr>
          <w:spacing w:val="-3"/>
        </w:rPr>
        <w:t xml:space="preserve"> </w:t>
      </w:r>
      <w:r>
        <w:t>zone</w:t>
      </w:r>
      <w:r>
        <w:rPr>
          <w:spacing w:val="-6"/>
        </w:rPr>
        <w:t xml:space="preserve"> </w:t>
      </w:r>
      <w:r>
        <w:t>earthquake</w:t>
      </w:r>
      <w:r>
        <w:rPr>
          <w:spacing w:val="-5"/>
        </w:rPr>
        <w:t xml:space="preserve"> </w:t>
      </w:r>
      <w:r>
        <w:t>scenario</w:t>
      </w:r>
      <w:r>
        <w:rPr>
          <w:spacing w:val="-3"/>
        </w:rPr>
        <w:t xml:space="preserve"> </w:t>
      </w:r>
      <w:r>
        <w:t>using</w:t>
      </w:r>
      <w:r>
        <w:rPr>
          <w:spacing w:val="-6"/>
        </w:rPr>
        <w:t xml:space="preserve"> </w:t>
      </w:r>
      <w:r>
        <w:t>earthquake</w:t>
      </w:r>
      <w:r>
        <w:rPr>
          <w:spacing w:val="-2"/>
        </w:rPr>
        <w:t xml:space="preserve"> </w:t>
      </w:r>
      <w:r>
        <w:t>ground</w:t>
      </w:r>
      <w:r>
        <w:rPr>
          <w:spacing w:val="-3"/>
        </w:rPr>
        <w:t xml:space="preserve"> </w:t>
      </w:r>
      <w:r>
        <w:t>shaking</w:t>
      </w:r>
      <w:r>
        <w:rPr>
          <w:spacing w:val="-6"/>
        </w:rPr>
        <w:t xml:space="preserve"> </w:t>
      </w:r>
      <w:r>
        <w:t>+</w:t>
      </w:r>
      <w:r>
        <w:rPr>
          <w:spacing w:val="-5"/>
        </w:rPr>
        <w:t xml:space="preserve"> </w:t>
      </w:r>
      <w:r>
        <w:t>landslide</w:t>
      </w:r>
      <w:r>
        <w:rPr>
          <w:spacing w:val="-5"/>
        </w:rPr>
        <w:t xml:space="preserve"> </w:t>
      </w:r>
      <w:r>
        <w:t>+</w:t>
      </w:r>
      <w:r>
        <w:rPr>
          <w:spacing w:val="-5"/>
        </w:rPr>
        <w:t xml:space="preserve"> </w:t>
      </w:r>
      <w:r>
        <w:t>liquefaction fragility</w:t>
      </w:r>
      <w:r>
        <w:rPr>
          <w:spacing w:val="-3"/>
        </w:rPr>
        <w:t xml:space="preserve"> </w:t>
      </w:r>
      <w:r>
        <w:t>functions.</w:t>
      </w:r>
    </w:p>
    <w:p w:rsidR="00C14782" w:rsidRDefault="00C14782">
      <w:pPr>
        <w:spacing w:line="271" w:lineRule="auto"/>
        <w:sectPr w:rsidR="00C14782">
          <w:pgSz w:w="12240" w:h="15840"/>
          <w:pgMar w:top="1360" w:right="1340" w:bottom="1160" w:left="1340" w:header="0" w:footer="973" w:gutter="0"/>
          <w:cols w:space="720"/>
        </w:sectPr>
      </w:pPr>
    </w:p>
    <w:p w:rsidR="00C14782" w:rsidRDefault="002F33BB">
      <w:pPr>
        <w:spacing w:before="79"/>
        <w:ind w:left="100"/>
        <w:rPr>
          <w:i/>
        </w:rPr>
      </w:pPr>
      <w:r>
        <w:rPr>
          <w:i/>
          <w:u w:val="single"/>
        </w:rPr>
        <w:lastRenderedPageBreak/>
        <w:t>Fault Rupture</w:t>
      </w:r>
    </w:p>
    <w:p w:rsidR="00C14782" w:rsidRDefault="002F33BB">
      <w:pPr>
        <w:pStyle w:val="ListParagraph"/>
        <w:numPr>
          <w:ilvl w:val="0"/>
          <w:numId w:val="4"/>
        </w:numPr>
        <w:tabs>
          <w:tab w:val="left" w:pos="821"/>
        </w:tabs>
        <w:spacing w:before="29" w:line="266" w:lineRule="auto"/>
        <w:ind w:right="232"/>
        <w:jc w:val="both"/>
      </w:pPr>
      <w:r>
        <w:rPr>
          <w:b/>
          <w:i/>
        </w:rPr>
        <w:t>Extent:</w:t>
      </w:r>
      <w:r>
        <w:rPr>
          <w:b/>
          <w:i/>
          <w:spacing w:val="-5"/>
        </w:rPr>
        <w:t xml:space="preserve"> </w:t>
      </w:r>
      <w:r>
        <w:t>this</w:t>
      </w:r>
      <w:r>
        <w:rPr>
          <w:spacing w:val="-4"/>
        </w:rPr>
        <w:t xml:space="preserve"> </w:t>
      </w:r>
      <w:r>
        <w:t>is</w:t>
      </w:r>
      <w:r>
        <w:rPr>
          <w:spacing w:val="-4"/>
        </w:rPr>
        <w:t xml:space="preserve"> </w:t>
      </w:r>
      <w:r>
        <w:t>the</w:t>
      </w:r>
      <w:r>
        <w:rPr>
          <w:spacing w:val="-4"/>
        </w:rPr>
        <w:t xml:space="preserve"> </w:t>
      </w:r>
      <w:r>
        <w:t>extent</w:t>
      </w:r>
      <w:r>
        <w:rPr>
          <w:spacing w:val="-4"/>
        </w:rPr>
        <w:t xml:space="preserve"> </w:t>
      </w:r>
      <w:r>
        <w:t>of</w:t>
      </w:r>
      <w:r>
        <w:rPr>
          <w:spacing w:val="-4"/>
        </w:rPr>
        <w:t xml:space="preserve"> </w:t>
      </w:r>
      <w:r>
        <w:t>fault</w:t>
      </w:r>
      <w:r>
        <w:rPr>
          <w:spacing w:val="-4"/>
        </w:rPr>
        <w:t xml:space="preserve"> </w:t>
      </w:r>
      <w:r>
        <w:t>rupture corresponding</w:t>
      </w:r>
      <w:r>
        <w:rPr>
          <w:spacing w:val="-5"/>
        </w:rPr>
        <w:t xml:space="preserve"> </w:t>
      </w:r>
      <w:r>
        <w:t>to</w:t>
      </w:r>
      <w:r>
        <w:rPr>
          <w:spacing w:val="-2"/>
        </w:rPr>
        <w:t xml:space="preserve"> </w:t>
      </w:r>
      <w:r>
        <w:t>selected</w:t>
      </w:r>
      <w:r>
        <w:rPr>
          <w:spacing w:val="-1"/>
        </w:rPr>
        <w:t xml:space="preserve"> </w:t>
      </w:r>
      <w:r>
        <w:t>Cascadia earthquake</w:t>
      </w:r>
      <w:r>
        <w:rPr>
          <w:spacing w:val="-4"/>
        </w:rPr>
        <w:t xml:space="preserve"> </w:t>
      </w:r>
      <w:r>
        <w:t xml:space="preserve">scenario that were used to generate the custom </w:t>
      </w:r>
      <w:proofErr w:type="spellStart"/>
      <w:r>
        <w:t>shakemaps</w:t>
      </w:r>
      <w:proofErr w:type="spellEnd"/>
      <w:r>
        <w:t xml:space="preserve"> provided by the</w:t>
      </w:r>
      <w:r>
        <w:rPr>
          <w:spacing w:val="-5"/>
        </w:rPr>
        <w:t xml:space="preserve"> </w:t>
      </w:r>
      <w:r>
        <w:t>USGS.</w:t>
      </w:r>
    </w:p>
    <w:p w:rsidR="00C14782" w:rsidRDefault="002F33BB">
      <w:pPr>
        <w:spacing w:before="212"/>
        <w:ind w:left="100"/>
        <w:rPr>
          <w:i/>
        </w:rPr>
      </w:pPr>
      <w:r>
        <w:rPr>
          <w:i/>
          <w:u w:val="single"/>
        </w:rPr>
        <w:t>Subsidence</w:t>
      </w:r>
    </w:p>
    <w:p w:rsidR="00C14782" w:rsidRDefault="002F33BB">
      <w:pPr>
        <w:pStyle w:val="ListParagraph"/>
        <w:numPr>
          <w:ilvl w:val="0"/>
          <w:numId w:val="3"/>
        </w:numPr>
        <w:tabs>
          <w:tab w:val="left" w:pos="821"/>
        </w:tabs>
        <w:spacing w:before="40" w:line="276" w:lineRule="auto"/>
        <w:ind w:right="116"/>
        <w:jc w:val="both"/>
      </w:pPr>
      <w:r>
        <w:rPr>
          <w:b/>
          <w:i/>
        </w:rPr>
        <w:t>Coastal</w:t>
      </w:r>
      <w:r>
        <w:rPr>
          <w:b/>
          <w:i/>
          <w:spacing w:val="-4"/>
        </w:rPr>
        <w:t xml:space="preserve"> </w:t>
      </w:r>
      <w:r>
        <w:rPr>
          <w:b/>
          <w:i/>
        </w:rPr>
        <w:t>co-seismic</w:t>
      </w:r>
      <w:r>
        <w:rPr>
          <w:b/>
          <w:i/>
          <w:spacing w:val="-4"/>
        </w:rPr>
        <w:t xml:space="preserve"> </w:t>
      </w:r>
      <w:r>
        <w:rPr>
          <w:b/>
          <w:i/>
        </w:rPr>
        <w:t>subsidence:</w:t>
      </w:r>
      <w:r>
        <w:rPr>
          <w:b/>
          <w:i/>
          <w:spacing w:val="-2"/>
        </w:rPr>
        <w:t xml:space="preserve"> </w:t>
      </w:r>
      <w:r>
        <w:t>this</w:t>
      </w:r>
      <w:r>
        <w:rPr>
          <w:spacing w:val="-4"/>
        </w:rPr>
        <w:t xml:space="preserve"> </w:t>
      </w:r>
      <w:r>
        <w:t>layer</w:t>
      </w:r>
      <w:r>
        <w:rPr>
          <w:spacing w:val="-3"/>
        </w:rPr>
        <w:t xml:space="preserve"> </w:t>
      </w:r>
      <w:r>
        <w:t>is</w:t>
      </w:r>
      <w:r>
        <w:rPr>
          <w:spacing w:val="-4"/>
        </w:rPr>
        <w:t xml:space="preserve"> </w:t>
      </w:r>
      <w:r>
        <w:t>only</w:t>
      </w:r>
      <w:r>
        <w:rPr>
          <w:spacing w:val="-5"/>
        </w:rPr>
        <w:t xml:space="preserve"> </w:t>
      </w:r>
      <w:r>
        <w:t>available</w:t>
      </w:r>
      <w:r>
        <w:rPr>
          <w:spacing w:val="-4"/>
        </w:rPr>
        <w:t xml:space="preserve"> </w:t>
      </w:r>
      <w:r>
        <w:t>for M9.0</w:t>
      </w:r>
      <w:r>
        <w:rPr>
          <w:spacing w:val="-4"/>
        </w:rPr>
        <w:t xml:space="preserve"> </w:t>
      </w:r>
      <w:r>
        <w:t>CSZ</w:t>
      </w:r>
      <w:r>
        <w:rPr>
          <w:spacing w:val="-5"/>
        </w:rPr>
        <w:t xml:space="preserve"> </w:t>
      </w:r>
      <w:r>
        <w:t>earthquake.</w:t>
      </w:r>
      <w:r>
        <w:rPr>
          <w:spacing w:val="2"/>
        </w:rPr>
        <w:t xml:space="preserve"> </w:t>
      </w:r>
      <w:r>
        <w:t>The</w:t>
      </w:r>
      <w:r>
        <w:rPr>
          <w:spacing w:val="-4"/>
        </w:rPr>
        <w:t xml:space="preserve"> </w:t>
      </w:r>
      <w:r>
        <w:t>layer</w:t>
      </w:r>
      <w:r>
        <w:rPr>
          <w:spacing w:val="-4"/>
        </w:rPr>
        <w:t xml:space="preserve"> </w:t>
      </w:r>
      <w:r>
        <w:t>is a raster depicting subsidence given a M9.0 CSZ earthquake. This is a parameter which depicts the land level change in a Cascadia subduction earthquake event along the coast. DOGAMI input the elastic dislocation models by Witter et al (2011) in order to compute this</w:t>
      </w:r>
      <w:r>
        <w:rPr>
          <w:spacing w:val="-23"/>
        </w:rPr>
        <w:t xml:space="preserve"> </w:t>
      </w:r>
      <w:r>
        <w:t>map.</w:t>
      </w:r>
    </w:p>
    <w:p w:rsidR="00C14782" w:rsidRDefault="002F33BB">
      <w:pPr>
        <w:spacing w:before="197"/>
        <w:ind w:left="100"/>
        <w:rPr>
          <w:i/>
        </w:rPr>
      </w:pPr>
      <w:r>
        <w:rPr>
          <w:i/>
          <w:u w:val="single"/>
        </w:rPr>
        <w:t>Tsunami</w:t>
      </w:r>
    </w:p>
    <w:p w:rsidR="00C14782" w:rsidRDefault="002F33BB">
      <w:pPr>
        <w:pStyle w:val="ListParagraph"/>
        <w:numPr>
          <w:ilvl w:val="0"/>
          <w:numId w:val="3"/>
        </w:numPr>
        <w:tabs>
          <w:tab w:val="left" w:pos="820"/>
          <w:tab w:val="left" w:pos="821"/>
        </w:tabs>
        <w:spacing w:before="35" w:line="276" w:lineRule="auto"/>
        <w:ind w:right="112"/>
      </w:pPr>
      <w:r>
        <w:rPr>
          <w:b/>
          <w:i/>
        </w:rPr>
        <w:t>Anticipated</w:t>
      </w:r>
      <w:r>
        <w:rPr>
          <w:b/>
          <w:i/>
          <w:spacing w:val="-2"/>
        </w:rPr>
        <w:t xml:space="preserve"> </w:t>
      </w:r>
      <w:r>
        <w:rPr>
          <w:b/>
          <w:i/>
        </w:rPr>
        <w:t>inundation</w:t>
      </w:r>
      <w:r>
        <w:rPr>
          <w:b/>
          <w:i/>
          <w:spacing w:val="-4"/>
        </w:rPr>
        <w:t xml:space="preserve"> </w:t>
      </w:r>
      <w:r>
        <w:rPr>
          <w:b/>
          <w:i/>
        </w:rPr>
        <w:t>area:</w:t>
      </w:r>
      <w:r>
        <w:rPr>
          <w:b/>
          <w:i/>
          <w:spacing w:val="-1"/>
        </w:rPr>
        <w:t xml:space="preserve"> </w:t>
      </w:r>
      <w:r>
        <w:t>this</w:t>
      </w:r>
      <w:r>
        <w:rPr>
          <w:spacing w:val="-4"/>
        </w:rPr>
        <w:t xml:space="preserve"> </w:t>
      </w:r>
      <w:r>
        <w:t>layer</w:t>
      </w:r>
      <w:r>
        <w:rPr>
          <w:spacing w:val="-4"/>
        </w:rPr>
        <w:t xml:space="preserve"> </w:t>
      </w:r>
      <w:r>
        <w:t>is</w:t>
      </w:r>
      <w:r>
        <w:rPr>
          <w:spacing w:val="-3"/>
        </w:rPr>
        <w:t xml:space="preserve"> </w:t>
      </w:r>
      <w:r>
        <w:t>only</w:t>
      </w:r>
      <w:r>
        <w:rPr>
          <w:spacing w:val="-5"/>
        </w:rPr>
        <w:t xml:space="preserve"> </w:t>
      </w:r>
      <w:r>
        <w:t>available</w:t>
      </w:r>
      <w:r>
        <w:rPr>
          <w:spacing w:val="-4"/>
        </w:rPr>
        <w:t xml:space="preserve"> </w:t>
      </w:r>
      <w:r>
        <w:t>for M9.0</w:t>
      </w:r>
      <w:r>
        <w:rPr>
          <w:spacing w:val="-4"/>
        </w:rPr>
        <w:t xml:space="preserve"> </w:t>
      </w:r>
      <w:r>
        <w:t>CSZ</w:t>
      </w:r>
      <w:r>
        <w:rPr>
          <w:spacing w:val="-4"/>
        </w:rPr>
        <w:t xml:space="preserve"> </w:t>
      </w:r>
      <w:r>
        <w:t>earthquake.</w:t>
      </w:r>
      <w:r>
        <w:rPr>
          <w:spacing w:val="-2"/>
        </w:rPr>
        <w:t xml:space="preserve"> </w:t>
      </w:r>
      <w:r>
        <w:t>The</w:t>
      </w:r>
      <w:r>
        <w:rPr>
          <w:spacing w:val="-4"/>
        </w:rPr>
        <w:t xml:space="preserve"> </w:t>
      </w:r>
      <w:r>
        <w:t>dataset</w:t>
      </w:r>
      <w:r>
        <w:rPr>
          <w:spacing w:val="-4"/>
        </w:rPr>
        <w:t xml:space="preserve"> </w:t>
      </w:r>
      <w:r>
        <w:t>is shapefile representing the areas which will be inundated in a Large (L1) tsunami scenario for Oregon coast. The methods and data used to make this map are described in detail in Priest et al (2013).</w:t>
      </w:r>
    </w:p>
    <w:p w:rsidR="00C14782" w:rsidRDefault="002F33BB">
      <w:pPr>
        <w:pStyle w:val="Heading2"/>
        <w:numPr>
          <w:ilvl w:val="0"/>
          <w:numId w:val="8"/>
        </w:numPr>
        <w:tabs>
          <w:tab w:val="left" w:pos="321"/>
        </w:tabs>
        <w:spacing w:before="199"/>
        <w:ind w:left="320" w:hanging="221"/>
      </w:pPr>
      <w:bookmarkStart w:id="29" w:name="_bookmark28"/>
      <w:bookmarkEnd w:id="29"/>
      <w:r>
        <w:t>Probabilistic Hazards</w:t>
      </w:r>
      <w:r>
        <w:rPr>
          <w:spacing w:val="-13"/>
        </w:rPr>
        <w:t xml:space="preserve"> </w:t>
      </w:r>
      <w:r>
        <w:t xml:space="preserve">Tab </w:t>
      </w:r>
      <w:r>
        <w:rPr>
          <w:noProof/>
        </w:rPr>
        <w:drawing>
          <wp:inline distT="0" distB="0" distL="0" distR="0">
            <wp:extent cx="255905" cy="255904"/>
            <wp:effectExtent l="0" t="0" r="0" b="0"/>
            <wp:docPr id="67" name="image14.png" descr="G:\CODE\O-HELP2\images\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4.png"/>
                    <pic:cNvPicPr/>
                  </pic:nvPicPr>
                  <pic:blipFill>
                    <a:blip r:embed="rId20" cstate="print"/>
                    <a:stretch>
                      <a:fillRect/>
                    </a:stretch>
                  </pic:blipFill>
                  <pic:spPr>
                    <a:xfrm>
                      <a:off x="0" y="0"/>
                      <a:ext cx="255905" cy="255904"/>
                    </a:xfrm>
                    <a:prstGeom prst="rect">
                      <a:avLst/>
                    </a:prstGeom>
                  </pic:spPr>
                </pic:pic>
              </a:graphicData>
            </a:graphic>
          </wp:inline>
        </w:drawing>
      </w:r>
    </w:p>
    <w:p w:rsidR="00C14782" w:rsidRDefault="002F33BB">
      <w:pPr>
        <w:pStyle w:val="BodyText"/>
        <w:spacing w:before="35" w:line="276" w:lineRule="auto"/>
        <w:ind w:left="100" w:right="126"/>
      </w:pPr>
      <w:r>
        <w:t>Selecting this icon creates a box of headers that allow the user to access a probabilistic version of hazards rather than a scenario based maps. The headers area: Ground Motion, Landslide Hazard Map, and Landslide Susceptibility Map. Selecting a header will then allow the user to select and view various data layers, as defined below, by clicking on a radio button.</w:t>
      </w:r>
    </w:p>
    <w:p w:rsidR="00C14782" w:rsidRDefault="002F33BB">
      <w:pPr>
        <w:pStyle w:val="BodyText"/>
        <w:spacing w:before="5"/>
        <w:rPr>
          <w:sz w:val="15"/>
        </w:rPr>
      </w:pPr>
      <w:r>
        <w:pict>
          <v:group id="_x0000_s1029" style="position:absolute;margin-left:222pt;margin-top:10.85pt;width:168.45pt;height:67.5pt;z-index:-251622400;mso-wrap-distance-left:0;mso-wrap-distance-right:0;mso-position-horizontal-relative:page" coordorigin="4440,217" coordsize="3369,1350">
            <v:shape id="_x0000_s1031" type="#_x0000_t75" style="position:absolute;left:4455;top:232;width:3339;height:1320">
              <v:imagedata r:id="rId69" o:title=""/>
            </v:shape>
            <v:rect id="_x0000_s1030" style="position:absolute;left:4447;top:224;width:3354;height:1335" filled="f"/>
            <w10:wrap type="topAndBottom" anchorx="page"/>
          </v:group>
        </w:pict>
      </w:r>
    </w:p>
    <w:p w:rsidR="00C14782" w:rsidRDefault="00C14782">
      <w:pPr>
        <w:pStyle w:val="BodyText"/>
        <w:spacing w:before="6"/>
        <w:rPr>
          <w:sz w:val="19"/>
        </w:rPr>
      </w:pPr>
    </w:p>
    <w:p w:rsidR="00C14782" w:rsidRDefault="002F33BB">
      <w:pPr>
        <w:ind w:left="100"/>
        <w:rPr>
          <w:i/>
        </w:rPr>
      </w:pPr>
      <w:r>
        <w:rPr>
          <w:i/>
          <w:u w:val="single"/>
        </w:rPr>
        <w:t>Ground Motion</w:t>
      </w:r>
    </w:p>
    <w:p w:rsidR="00C14782" w:rsidRDefault="002F33BB">
      <w:pPr>
        <w:pStyle w:val="ListParagraph"/>
        <w:numPr>
          <w:ilvl w:val="0"/>
          <w:numId w:val="2"/>
        </w:numPr>
        <w:tabs>
          <w:tab w:val="left" w:pos="820"/>
          <w:tab w:val="left" w:pos="821"/>
        </w:tabs>
        <w:spacing w:before="39" w:line="271" w:lineRule="auto"/>
        <w:ind w:right="642"/>
      </w:pPr>
      <w:r>
        <w:rPr>
          <w:b/>
          <w:i/>
          <w:spacing w:val="-3"/>
        </w:rPr>
        <w:t xml:space="preserve">2% </w:t>
      </w:r>
      <w:r>
        <w:rPr>
          <w:b/>
          <w:i/>
        </w:rPr>
        <w:t xml:space="preserve">in 50 Years PGA: </w:t>
      </w:r>
      <w:r>
        <w:t>probabilistic PGA from the USGS 2014 US National Seismic Hazard Model.</w:t>
      </w:r>
    </w:p>
    <w:p w:rsidR="00C14782" w:rsidRDefault="002F33BB">
      <w:pPr>
        <w:pStyle w:val="ListParagraph"/>
        <w:numPr>
          <w:ilvl w:val="0"/>
          <w:numId w:val="2"/>
        </w:numPr>
        <w:tabs>
          <w:tab w:val="left" w:pos="820"/>
          <w:tab w:val="left" w:pos="821"/>
        </w:tabs>
        <w:spacing w:before="6" w:line="273" w:lineRule="auto"/>
        <w:ind w:right="525"/>
      </w:pPr>
      <w:r>
        <w:rPr>
          <w:b/>
          <w:i/>
        </w:rPr>
        <w:t xml:space="preserve">10% </w:t>
      </w:r>
      <w:r>
        <w:rPr>
          <w:b/>
          <w:i/>
          <w:spacing w:val="-3"/>
        </w:rPr>
        <w:t xml:space="preserve">in </w:t>
      </w:r>
      <w:r>
        <w:rPr>
          <w:b/>
          <w:i/>
        </w:rPr>
        <w:t xml:space="preserve">50 Years PGA: </w:t>
      </w:r>
      <w:r>
        <w:t>probabilistic PGA from the USGS 2014 US National Seismic Hazard Model.</w:t>
      </w:r>
    </w:p>
    <w:p w:rsidR="00C14782" w:rsidRDefault="002F33BB">
      <w:pPr>
        <w:spacing w:before="200"/>
        <w:ind w:left="100"/>
        <w:rPr>
          <w:i/>
        </w:rPr>
      </w:pPr>
      <w:r>
        <w:rPr>
          <w:i/>
          <w:u w:val="single"/>
        </w:rPr>
        <w:t>Landslide Hazard Map</w:t>
      </w:r>
    </w:p>
    <w:p w:rsidR="00C14782" w:rsidRDefault="002F33BB">
      <w:pPr>
        <w:pStyle w:val="BodyText"/>
        <w:spacing w:before="39" w:line="278" w:lineRule="auto"/>
        <w:ind w:left="820" w:right="569"/>
      </w:pPr>
      <w:r>
        <w:t>Subsets of the seismic landslide hazard analysis completed by Sharifi-Mood et al. (2017) are provided for the following recurrence intervals:</w:t>
      </w:r>
    </w:p>
    <w:p w:rsidR="00C14782" w:rsidRDefault="002F33BB">
      <w:pPr>
        <w:pStyle w:val="ListParagraph"/>
        <w:numPr>
          <w:ilvl w:val="0"/>
          <w:numId w:val="2"/>
        </w:numPr>
        <w:tabs>
          <w:tab w:val="left" w:pos="820"/>
          <w:tab w:val="left" w:pos="821"/>
        </w:tabs>
        <w:spacing w:before="198" w:line="271" w:lineRule="auto"/>
        <w:ind w:right="249"/>
      </w:pPr>
      <w:r>
        <w:rPr>
          <w:b/>
          <w:i/>
          <w:spacing w:val="-3"/>
        </w:rPr>
        <w:t xml:space="preserve">2% </w:t>
      </w:r>
      <w:r>
        <w:rPr>
          <w:b/>
          <w:i/>
        </w:rPr>
        <w:t xml:space="preserve">in 50 Landslide Disp.: </w:t>
      </w:r>
      <w:r>
        <w:t>landslide displacement value corresponding to a probability of 2% of being exceeded in a 50 year timeframe.</w:t>
      </w:r>
    </w:p>
    <w:p w:rsidR="00C14782" w:rsidRDefault="002F33BB">
      <w:pPr>
        <w:pStyle w:val="ListParagraph"/>
        <w:numPr>
          <w:ilvl w:val="0"/>
          <w:numId w:val="2"/>
        </w:numPr>
        <w:tabs>
          <w:tab w:val="left" w:pos="820"/>
          <w:tab w:val="left" w:pos="821"/>
        </w:tabs>
        <w:spacing w:before="5" w:line="273" w:lineRule="auto"/>
        <w:ind w:right="263"/>
      </w:pPr>
      <w:r>
        <w:rPr>
          <w:b/>
          <w:i/>
        </w:rPr>
        <w:t xml:space="preserve">10% </w:t>
      </w:r>
      <w:r>
        <w:rPr>
          <w:b/>
          <w:i/>
          <w:spacing w:val="-3"/>
        </w:rPr>
        <w:t xml:space="preserve">in </w:t>
      </w:r>
      <w:r>
        <w:rPr>
          <w:b/>
          <w:i/>
        </w:rPr>
        <w:t xml:space="preserve">50 Landslide Disp.: </w:t>
      </w:r>
      <w:r>
        <w:t>landslide displacement value corresponding to a probability of 10% of being exceeded in a 50 year timeframe.</w:t>
      </w:r>
    </w:p>
    <w:p w:rsidR="00C14782" w:rsidRDefault="002F33BB">
      <w:pPr>
        <w:spacing w:before="201"/>
        <w:ind w:left="100"/>
        <w:rPr>
          <w:i/>
        </w:rPr>
      </w:pPr>
      <w:r>
        <w:rPr>
          <w:i/>
          <w:u w:val="single"/>
        </w:rPr>
        <w:t>Landslide Susceptibility Map</w:t>
      </w:r>
    </w:p>
    <w:p w:rsidR="00C14782" w:rsidRDefault="002F33BB">
      <w:pPr>
        <w:pStyle w:val="BodyText"/>
        <w:spacing w:before="39" w:line="276" w:lineRule="auto"/>
        <w:ind w:left="820" w:right="471"/>
      </w:pPr>
      <w:r>
        <w:t>Analysis results completed by Hess et al (2017) of a simplified 3D shallow landslide susceptibility framework considering topography and seismicity.</w:t>
      </w:r>
    </w:p>
    <w:p w:rsidR="00C14782" w:rsidRDefault="00C14782">
      <w:pPr>
        <w:spacing w:line="276" w:lineRule="auto"/>
        <w:sectPr w:rsidR="00C14782">
          <w:pgSz w:w="12240" w:h="15840"/>
          <w:pgMar w:top="1360" w:right="1340" w:bottom="1160" w:left="1340" w:header="0" w:footer="973" w:gutter="0"/>
          <w:cols w:space="720"/>
        </w:sectPr>
      </w:pPr>
    </w:p>
    <w:p w:rsidR="00C14782" w:rsidRDefault="002F33BB">
      <w:pPr>
        <w:pStyle w:val="ListParagraph"/>
        <w:numPr>
          <w:ilvl w:val="0"/>
          <w:numId w:val="2"/>
        </w:numPr>
        <w:tabs>
          <w:tab w:val="left" w:pos="820"/>
          <w:tab w:val="left" w:pos="821"/>
        </w:tabs>
        <w:spacing w:before="79" w:line="273" w:lineRule="auto"/>
        <w:ind w:right="407"/>
      </w:pPr>
      <w:r>
        <w:rPr>
          <w:b/>
          <w:i/>
        </w:rPr>
        <w:lastRenderedPageBreak/>
        <w:t xml:space="preserve">1_ek00_m025_cr0: </w:t>
      </w:r>
      <w:r>
        <w:t xml:space="preserve">susceptibility map for the Gales Creek watershed showing a probability of failure corresponding to a </w:t>
      </w:r>
      <w:proofErr w:type="spellStart"/>
      <w:r>
        <w:t>kh</w:t>
      </w:r>
      <w:proofErr w:type="spellEnd"/>
      <w:r>
        <w:t xml:space="preserve">=0, m=0.25 and </w:t>
      </w:r>
      <w:proofErr w:type="spellStart"/>
      <w:r>
        <w:t>cr</w:t>
      </w:r>
      <w:proofErr w:type="spellEnd"/>
      <w:r>
        <w:t>=0 scenario.</w:t>
      </w:r>
    </w:p>
    <w:p w:rsidR="00C14782" w:rsidRDefault="002F33BB">
      <w:pPr>
        <w:pStyle w:val="ListParagraph"/>
        <w:numPr>
          <w:ilvl w:val="0"/>
          <w:numId w:val="2"/>
        </w:numPr>
        <w:tabs>
          <w:tab w:val="left" w:pos="820"/>
          <w:tab w:val="left" w:pos="821"/>
        </w:tabs>
        <w:spacing w:line="273" w:lineRule="auto"/>
        <w:ind w:right="414"/>
      </w:pPr>
      <w:r>
        <w:rPr>
          <w:b/>
          <w:i/>
        </w:rPr>
        <w:t>2_ek00_m025_cr8:</w:t>
      </w:r>
      <w:r>
        <w:rPr>
          <w:b/>
          <w:i/>
          <w:spacing w:val="-5"/>
        </w:rPr>
        <w:t xml:space="preserve"> </w:t>
      </w:r>
      <w:r>
        <w:t>susceptibility</w:t>
      </w:r>
      <w:r>
        <w:rPr>
          <w:spacing w:val="-6"/>
        </w:rPr>
        <w:t xml:space="preserve"> </w:t>
      </w:r>
      <w:r>
        <w:t>map</w:t>
      </w:r>
      <w:r>
        <w:rPr>
          <w:spacing w:val="-2"/>
        </w:rPr>
        <w:t xml:space="preserve"> </w:t>
      </w:r>
      <w:r>
        <w:t>for</w:t>
      </w:r>
      <w:r>
        <w:rPr>
          <w:spacing w:val="-4"/>
        </w:rPr>
        <w:t xml:space="preserve"> </w:t>
      </w:r>
      <w:r>
        <w:t>the</w:t>
      </w:r>
      <w:r>
        <w:rPr>
          <w:spacing w:val="-5"/>
        </w:rPr>
        <w:t xml:space="preserve"> </w:t>
      </w:r>
      <w:r>
        <w:t>Gales</w:t>
      </w:r>
      <w:r>
        <w:rPr>
          <w:spacing w:val="-5"/>
        </w:rPr>
        <w:t xml:space="preserve"> </w:t>
      </w:r>
      <w:r>
        <w:t>Creek</w:t>
      </w:r>
      <w:r>
        <w:rPr>
          <w:spacing w:val="-2"/>
        </w:rPr>
        <w:t xml:space="preserve"> </w:t>
      </w:r>
      <w:r>
        <w:t>watershed</w:t>
      </w:r>
      <w:r>
        <w:rPr>
          <w:spacing w:val="-2"/>
        </w:rPr>
        <w:t xml:space="preserve"> </w:t>
      </w:r>
      <w:r>
        <w:t>showing</w:t>
      </w:r>
      <w:r>
        <w:rPr>
          <w:spacing w:val="-5"/>
        </w:rPr>
        <w:t xml:space="preserve"> </w:t>
      </w:r>
      <w:r>
        <w:t>a</w:t>
      </w:r>
      <w:r>
        <w:rPr>
          <w:spacing w:val="-5"/>
        </w:rPr>
        <w:t xml:space="preserve"> </w:t>
      </w:r>
      <w:r>
        <w:t>probability</w:t>
      </w:r>
      <w:r>
        <w:rPr>
          <w:spacing w:val="-2"/>
        </w:rPr>
        <w:t xml:space="preserve"> </w:t>
      </w:r>
      <w:r>
        <w:t xml:space="preserve">of failure corresponding to a </w:t>
      </w:r>
      <w:proofErr w:type="spellStart"/>
      <w:r>
        <w:t>kh</w:t>
      </w:r>
      <w:proofErr w:type="spellEnd"/>
      <w:r>
        <w:t xml:space="preserve">=0, m=0.25 and </w:t>
      </w:r>
      <w:proofErr w:type="spellStart"/>
      <w:r>
        <w:t>cr</w:t>
      </w:r>
      <w:proofErr w:type="spellEnd"/>
      <w:r>
        <w:t>=8.</w:t>
      </w:r>
    </w:p>
    <w:p w:rsidR="00C14782" w:rsidRDefault="002F33BB">
      <w:pPr>
        <w:pStyle w:val="ListParagraph"/>
        <w:numPr>
          <w:ilvl w:val="0"/>
          <w:numId w:val="2"/>
        </w:numPr>
        <w:tabs>
          <w:tab w:val="left" w:pos="820"/>
          <w:tab w:val="left" w:pos="821"/>
        </w:tabs>
        <w:spacing w:before="5" w:line="273" w:lineRule="auto"/>
        <w:ind w:right="411"/>
      </w:pPr>
      <w:r>
        <w:rPr>
          <w:b/>
          <w:i/>
        </w:rPr>
        <w:t xml:space="preserve">3_ek01_m025_cr8: </w:t>
      </w:r>
      <w:r>
        <w:t>susceptibility map for the Gales Creek watershed showing a</w:t>
      </w:r>
      <w:r>
        <w:rPr>
          <w:spacing w:val="-40"/>
        </w:rPr>
        <w:t xml:space="preserve"> </w:t>
      </w:r>
      <w:r>
        <w:t xml:space="preserve">probability of failure corresponding to a </w:t>
      </w:r>
      <w:proofErr w:type="spellStart"/>
      <w:r>
        <w:t>kh</w:t>
      </w:r>
      <w:proofErr w:type="spellEnd"/>
      <w:r>
        <w:t>=0.1, m=0.25 and</w:t>
      </w:r>
      <w:r>
        <w:rPr>
          <w:spacing w:val="-4"/>
        </w:rPr>
        <w:t xml:space="preserve"> </w:t>
      </w:r>
      <w:proofErr w:type="spellStart"/>
      <w:r>
        <w:t>cr</w:t>
      </w:r>
      <w:proofErr w:type="spellEnd"/>
      <w:r>
        <w:t>=8.</w:t>
      </w:r>
    </w:p>
    <w:p w:rsidR="00C14782" w:rsidRDefault="002F33BB">
      <w:pPr>
        <w:pStyle w:val="ListParagraph"/>
        <w:numPr>
          <w:ilvl w:val="0"/>
          <w:numId w:val="2"/>
        </w:numPr>
        <w:tabs>
          <w:tab w:val="left" w:pos="820"/>
          <w:tab w:val="left" w:pos="821"/>
        </w:tabs>
        <w:spacing w:before="1" w:line="273" w:lineRule="auto"/>
        <w:ind w:right="414"/>
      </w:pPr>
      <w:r>
        <w:rPr>
          <w:b/>
          <w:i/>
        </w:rPr>
        <w:t>4_ek03_m025_cr8:</w:t>
      </w:r>
      <w:r>
        <w:rPr>
          <w:b/>
          <w:i/>
          <w:spacing w:val="-5"/>
        </w:rPr>
        <w:t xml:space="preserve"> </w:t>
      </w:r>
      <w:r>
        <w:t>susceptibility</w:t>
      </w:r>
      <w:r>
        <w:rPr>
          <w:spacing w:val="-6"/>
        </w:rPr>
        <w:t xml:space="preserve"> </w:t>
      </w:r>
      <w:r>
        <w:t>map</w:t>
      </w:r>
      <w:r>
        <w:rPr>
          <w:spacing w:val="-2"/>
        </w:rPr>
        <w:t xml:space="preserve"> </w:t>
      </w:r>
      <w:r>
        <w:t>for</w:t>
      </w:r>
      <w:r>
        <w:rPr>
          <w:spacing w:val="-4"/>
        </w:rPr>
        <w:t xml:space="preserve"> </w:t>
      </w:r>
      <w:r>
        <w:t>the</w:t>
      </w:r>
      <w:r>
        <w:rPr>
          <w:spacing w:val="-5"/>
        </w:rPr>
        <w:t xml:space="preserve"> </w:t>
      </w:r>
      <w:r>
        <w:t>Gales</w:t>
      </w:r>
      <w:r>
        <w:rPr>
          <w:spacing w:val="-5"/>
        </w:rPr>
        <w:t xml:space="preserve"> </w:t>
      </w:r>
      <w:r>
        <w:t>Creek</w:t>
      </w:r>
      <w:r>
        <w:rPr>
          <w:spacing w:val="-2"/>
        </w:rPr>
        <w:t xml:space="preserve"> </w:t>
      </w:r>
      <w:r>
        <w:t>watershed</w:t>
      </w:r>
      <w:r>
        <w:rPr>
          <w:spacing w:val="-2"/>
        </w:rPr>
        <w:t xml:space="preserve"> </w:t>
      </w:r>
      <w:r>
        <w:t>showing</w:t>
      </w:r>
      <w:r>
        <w:rPr>
          <w:spacing w:val="-5"/>
        </w:rPr>
        <w:t xml:space="preserve"> </w:t>
      </w:r>
      <w:r>
        <w:t>a</w:t>
      </w:r>
      <w:r>
        <w:rPr>
          <w:spacing w:val="-5"/>
        </w:rPr>
        <w:t xml:space="preserve"> </w:t>
      </w:r>
      <w:r>
        <w:t>probability</w:t>
      </w:r>
      <w:r>
        <w:rPr>
          <w:spacing w:val="-2"/>
        </w:rPr>
        <w:t xml:space="preserve"> </w:t>
      </w:r>
      <w:r>
        <w:t xml:space="preserve">of failure corresponding to a </w:t>
      </w:r>
      <w:proofErr w:type="spellStart"/>
      <w:r>
        <w:t>kh</w:t>
      </w:r>
      <w:proofErr w:type="spellEnd"/>
      <w:r>
        <w:t>=0.3, m=0.25 and</w:t>
      </w:r>
      <w:r>
        <w:rPr>
          <w:spacing w:val="-4"/>
        </w:rPr>
        <w:t xml:space="preserve"> </w:t>
      </w:r>
      <w:proofErr w:type="spellStart"/>
      <w:r>
        <w:t>cr</w:t>
      </w:r>
      <w:proofErr w:type="spellEnd"/>
      <w:r>
        <w:t>=8.</w:t>
      </w:r>
    </w:p>
    <w:p w:rsidR="00C14782" w:rsidRDefault="002F33BB">
      <w:pPr>
        <w:pStyle w:val="Heading1"/>
        <w:spacing w:before="205"/>
      </w:pPr>
      <w:bookmarkStart w:id="30" w:name="_bookmark29"/>
      <w:bookmarkEnd w:id="30"/>
      <w:r>
        <w:t>MOBILE DEVICE SUPPORT</w:t>
      </w:r>
    </w:p>
    <w:p w:rsidR="00C14782" w:rsidRDefault="002F33BB">
      <w:pPr>
        <w:pStyle w:val="BodyText"/>
        <w:spacing w:before="39" w:line="276" w:lineRule="auto"/>
        <w:ind w:left="100"/>
      </w:pPr>
      <w:r>
        <w:t>O-HELP 3D is available in mobile devices (Figure 13). Note that some features (title, overview map, sponsor list.) are not available in a mobile phone due to the limited display space available, so the experience will ordinarily be better in a web browser on a desktop.</w:t>
      </w:r>
    </w:p>
    <w:p w:rsidR="00C14782" w:rsidRDefault="002F33BB">
      <w:pPr>
        <w:pStyle w:val="BodyText"/>
        <w:rPr>
          <w:sz w:val="14"/>
        </w:rPr>
      </w:pPr>
      <w:r>
        <w:rPr>
          <w:noProof/>
        </w:rPr>
        <w:drawing>
          <wp:anchor distT="0" distB="0" distL="0" distR="0" simplePos="0" relativeHeight="36" behindDoc="0" locked="0" layoutInCell="1" allowOverlap="1">
            <wp:simplePos x="0" y="0"/>
            <wp:positionH relativeFrom="page">
              <wp:posOffset>1171257</wp:posOffset>
            </wp:positionH>
            <wp:positionV relativeFrom="paragraph">
              <wp:posOffset>127284</wp:posOffset>
            </wp:positionV>
            <wp:extent cx="2281631" cy="4054983"/>
            <wp:effectExtent l="0" t="0" r="0" b="0"/>
            <wp:wrapTopAndBottom/>
            <wp:docPr id="69"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5.jpeg"/>
                    <pic:cNvPicPr/>
                  </pic:nvPicPr>
                  <pic:blipFill>
                    <a:blip r:embed="rId70" cstate="print"/>
                    <a:stretch>
                      <a:fillRect/>
                    </a:stretch>
                  </pic:blipFill>
                  <pic:spPr>
                    <a:xfrm>
                      <a:off x="0" y="0"/>
                      <a:ext cx="2281631" cy="4054983"/>
                    </a:xfrm>
                    <a:prstGeom prst="rect">
                      <a:avLst/>
                    </a:prstGeom>
                  </pic:spPr>
                </pic:pic>
              </a:graphicData>
            </a:graphic>
          </wp:anchor>
        </w:drawing>
      </w:r>
      <w:r>
        <w:rPr>
          <w:noProof/>
        </w:rPr>
        <w:drawing>
          <wp:anchor distT="0" distB="0" distL="0" distR="0" simplePos="0" relativeHeight="37" behindDoc="0" locked="0" layoutInCell="1" allowOverlap="1">
            <wp:simplePos x="0" y="0"/>
            <wp:positionH relativeFrom="page">
              <wp:posOffset>3508121</wp:posOffset>
            </wp:positionH>
            <wp:positionV relativeFrom="paragraph">
              <wp:posOffset>127157</wp:posOffset>
            </wp:positionV>
            <wp:extent cx="3083030" cy="4011168"/>
            <wp:effectExtent l="0" t="0" r="0" b="0"/>
            <wp:wrapTopAndBottom/>
            <wp:docPr id="71"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6.jpeg"/>
                    <pic:cNvPicPr/>
                  </pic:nvPicPr>
                  <pic:blipFill>
                    <a:blip r:embed="rId71" cstate="print"/>
                    <a:stretch>
                      <a:fillRect/>
                    </a:stretch>
                  </pic:blipFill>
                  <pic:spPr>
                    <a:xfrm>
                      <a:off x="0" y="0"/>
                      <a:ext cx="3083030" cy="4011168"/>
                    </a:xfrm>
                    <a:prstGeom prst="rect">
                      <a:avLst/>
                    </a:prstGeom>
                  </pic:spPr>
                </pic:pic>
              </a:graphicData>
            </a:graphic>
          </wp:anchor>
        </w:drawing>
      </w:r>
    </w:p>
    <w:p w:rsidR="00C14782" w:rsidRDefault="002F33BB">
      <w:pPr>
        <w:pStyle w:val="Heading2"/>
        <w:spacing w:before="162"/>
        <w:ind w:left="452"/>
      </w:pPr>
      <w:r>
        <w:t>Figure 13. The starting screen of O-HELP 3D in mobile phone (left) and tablet device (right)</w:t>
      </w:r>
    </w:p>
    <w:p w:rsidR="00C14782" w:rsidRDefault="00C14782">
      <w:pPr>
        <w:pStyle w:val="BodyText"/>
        <w:rPr>
          <w:b/>
          <w:sz w:val="24"/>
        </w:rPr>
      </w:pPr>
    </w:p>
    <w:p w:rsidR="00C14782" w:rsidRDefault="00C14782">
      <w:pPr>
        <w:pStyle w:val="BodyText"/>
        <w:rPr>
          <w:b/>
          <w:sz w:val="24"/>
        </w:rPr>
      </w:pPr>
    </w:p>
    <w:p w:rsidR="00C14782" w:rsidRDefault="002F33BB">
      <w:pPr>
        <w:spacing w:before="140"/>
        <w:ind w:left="100"/>
        <w:rPr>
          <w:b/>
          <w:sz w:val="24"/>
        </w:rPr>
      </w:pPr>
      <w:bookmarkStart w:id="31" w:name="_bookmark30"/>
      <w:bookmarkEnd w:id="31"/>
      <w:r>
        <w:rPr>
          <w:b/>
          <w:sz w:val="24"/>
        </w:rPr>
        <w:t>FUTURE WORK</w:t>
      </w:r>
    </w:p>
    <w:p w:rsidR="00C14782" w:rsidRDefault="002F33BB">
      <w:pPr>
        <w:pStyle w:val="BodyText"/>
        <w:spacing w:before="39" w:line="276" w:lineRule="auto"/>
        <w:ind w:left="100" w:right="92"/>
      </w:pPr>
      <w:r>
        <w:t>As previously discussed, a placeholder is set for probabilistic maps, which are very useful for engineering analysis and risk management. Currently, building codes generally require engineers to use probabilistic seismic hazard analyses for their designs. Future plans are to create python functions to allow the user to do an analysis on the layers within O-HELP.</w:t>
      </w:r>
    </w:p>
    <w:p w:rsidR="00C14782" w:rsidRDefault="00C14782">
      <w:pPr>
        <w:spacing w:line="276" w:lineRule="auto"/>
        <w:sectPr w:rsidR="00C14782">
          <w:pgSz w:w="12240" w:h="15840"/>
          <w:pgMar w:top="1360" w:right="1340" w:bottom="1160" w:left="1340" w:header="0" w:footer="973" w:gutter="0"/>
          <w:cols w:space="720"/>
        </w:sectPr>
      </w:pPr>
    </w:p>
    <w:p w:rsidR="00C14782" w:rsidRDefault="002F33BB">
      <w:pPr>
        <w:pStyle w:val="Heading1"/>
        <w:spacing w:before="60"/>
      </w:pPr>
      <w:bookmarkStart w:id="32" w:name="_bookmark31"/>
      <w:bookmarkEnd w:id="32"/>
      <w:r>
        <w:lastRenderedPageBreak/>
        <w:t>REFERENCES:</w:t>
      </w:r>
    </w:p>
    <w:p w:rsidR="00C14782" w:rsidRDefault="002F33BB">
      <w:pPr>
        <w:pStyle w:val="BodyText"/>
        <w:spacing w:before="35"/>
        <w:ind w:left="460" w:right="692" w:hanging="360"/>
      </w:pPr>
      <w:proofErr w:type="spellStart"/>
      <w:r>
        <w:t>Boore</w:t>
      </w:r>
      <w:proofErr w:type="spellEnd"/>
      <w:r>
        <w:t>, D.M., and G.M. Atkinson. "Ground-motion prediction equations for the average horizontal component of PGA, PGV, and 5%-damped PSA at spectral periods between 0.01 s and 10.0 s." Earthquake Spectra, Vol. 24, No. 1, 2008, pp. 99-138.</w:t>
      </w:r>
    </w:p>
    <w:p w:rsidR="00C14782" w:rsidRDefault="002F33BB">
      <w:pPr>
        <w:pStyle w:val="BodyText"/>
        <w:spacing w:before="201"/>
        <w:ind w:left="460" w:right="317" w:hanging="360"/>
      </w:pPr>
      <w:r>
        <w:t xml:space="preserve">Building Seismic Safety Council (BSSC). 2000 Edition, NEHRP Recommended Provisions for Seismic Regulations for New Buildings and Other Structures, FEMA-368, Part1 (Provisions): developed for the Federal Emergency Management Agency, Washington, D.C, 2001.Burns, W.J., R.J. </w:t>
      </w:r>
      <w:proofErr w:type="spellStart"/>
      <w:r>
        <w:t>Watzig</w:t>
      </w:r>
      <w:proofErr w:type="spellEnd"/>
      <w:r>
        <w:t xml:space="preserve">, "SLIDO-3.0, Statewide Landslide Information Database for Oregon (SLIDO), Release 3." </w:t>
      </w:r>
      <w:hyperlink r:id="rId72" w:anchor="interim">
        <w:r>
          <w:t xml:space="preserve">http://www.oregongeology.org/sub/slido/data.htm#interim, </w:t>
        </w:r>
      </w:hyperlink>
      <w:r>
        <w:t>Oregon Department of Geology and Mineral Industries. Portland, OR, 2014.</w:t>
      </w:r>
    </w:p>
    <w:p w:rsidR="00C14782" w:rsidRDefault="002F33BB">
      <w:pPr>
        <w:pStyle w:val="BodyText"/>
        <w:spacing w:before="203"/>
        <w:ind w:left="460" w:hanging="360"/>
      </w:pPr>
      <w:r>
        <w:t>Burns, P. O. "Multi-hazard damage and loss assessment of bridge networks." Master thesis, Oregon State University, 2015, 116p.</w:t>
      </w:r>
    </w:p>
    <w:p w:rsidR="00C14782" w:rsidRDefault="002F33BB">
      <w:pPr>
        <w:pStyle w:val="BodyText"/>
        <w:spacing w:before="198"/>
        <w:ind w:left="460" w:right="553" w:hanging="360"/>
      </w:pPr>
      <w:r>
        <w:t xml:space="preserve">FEMA, </w:t>
      </w:r>
      <w:proofErr w:type="spellStart"/>
      <w:r>
        <w:t>MRl</w:t>
      </w:r>
      <w:proofErr w:type="spellEnd"/>
      <w:r>
        <w:t>, HAZUS-MH. "Multi-Hazard Loss Estimation Methodology: Earthquake Model." Department of Homeland Security, FEMA, Washington, DC. Web</w:t>
      </w:r>
      <w:hyperlink r:id="rId73">
        <w:r>
          <w:t>: http://www.fema.gov/media-</w:t>
        </w:r>
      </w:hyperlink>
      <w:r>
        <w:t xml:space="preserve"> library-data/20130726-1716-25045-6422/hazus_mr4_earthquake_tech_manual.pdf , 2003.</w:t>
      </w:r>
    </w:p>
    <w:p w:rsidR="00C14782" w:rsidRDefault="002F33BB">
      <w:pPr>
        <w:pStyle w:val="BodyText"/>
        <w:spacing w:before="201"/>
        <w:ind w:left="460" w:right="774" w:hanging="360"/>
      </w:pPr>
      <w:r>
        <w:t>FEMA (Federal Emergency Management Administration), HAZUS®-MH 2.0, Multi-Hazard Loss Estimation Methodology, software and technical manual documentation. Web:</w:t>
      </w:r>
      <w:hyperlink r:id="rId74">
        <w:r>
          <w:t xml:space="preserve"> http://www.fema.gov/plan/prevent/hazus; </w:t>
        </w:r>
      </w:hyperlink>
      <w:r>
        <w:t xml:space="preserve">Earthquake model technical manual: </w:t>
      </w:r>
      <w:hyperlink r:id="rId75">
        <w:r>
          <w:t xml:space="preserve">http://www.fema.gov/library/viewRecord.do?id=4713, </w:t>
        </w:r>
      </w:hyperlink>
      <w:r>
        <w:t>2011.</w:t>
      </w:r>
    </w:p>
    <w:p w:rsidR="00C14782" w:rsidRDefault="002F33BB">
      <w:pPr>
        <w:pStyle w:val="BodyText"/>
        <w:spacing w:before="201"/>
        <w:ind w:left="460" w:right="190" w:hanging="360"/>
      </w:pPr>
      <w:proofErr w:type="spellStart"/>
      <w:r>
        <w:t>Gesch</w:t>
      </w:r>
      <w:proofErr w:type="spellEnd"/>
      <w:r>
        <w:t xml:space="preserve">, D.B., The National Elevation Dataset, in </w:t>
      </w:r>
      <w:proofErr w:type="spellStart"/>
      <w:r>
        <w:t>Maune</w:t>
      </w:r>
      <w:proofErr w:type="spellEnd"/>
      <w:r>
        <w:t>, D., ed., Digital Elevation Model Technologies and Applications: The DEM User’s Manual, 2nd Edition: Bethesda, Maryland, American Society for Photogrammetry and Remote Sensing, 2007, pp. 99-118.</w:t>
      </w:r>
    </w:p>
    <w:p w:rsidR="00C14782" w:rsidRDefault="002F33BB">
      <w:pPr>
        <w:pStyle w:val="BodyText"/>
        <w:spacing w:before="197" w:line="242" w:lineRule="auto"/>
        <w:ind w:left="460" w:hanging="360"/>
      </w:pPr>
      <w:r>
        <w:t>Hess, Daniel M., et al. "A simplified three-dimensional shallow landslide susceptibility framework considering topography and seismicity." Landslides Vol. 14, No. 5, 2017, pp. 1677-1697.</w:t>
      </w:r>
    </w:p>
    <w:p w:rsidR="00C14782" w:rsidRDefault="002F33BB">
      <w:pPr>
        <w:pStyle w:val="BodyText"/>
        <w:spacing w:before="197"/>
        <w:ind w:left="460" w:hanging="360"/>
      </w:pPr>
      <w:proofErr w:type="spellStart"/>
      <w:r>
        <w:t>Madin</w:t>
      </w:r>
      <w:proofErr w:type="spellEnd"/>
      <w:r>
        <w:t xml:space="preserve">, I.P. and Burns, William J. DOGAMI Open-File Report O-13-06, Ground motion, ground deformation, tsunami inundation, </w:t>
      </w:r>
      <w:proofErr w:type="spellStart"/>
      <w:r>
        <w:t>coseismic</w:t>
      </w:r>
      <w:proofErr w:type="spellEnd"/>
      <w:r>
        <w:t xml:space="preserve"> subsidence, and damage potential maps for the 2012 Oregon Resilience Plan for Cascadia Subduction Zone Earthquakes. Oregon Department of Geology and Mineral Industries. Portland, OR, 2013.</w:t>
      </w:r>
    </w:p>
    <w:p w:rsidR="00C14782" w:rsidRDefault="002F33BB">
      <w:pPr>
        <w:pStyle w:val="BodyText"/>
        <w:spacing w:before="200"/>
        <w:ind w:left="460" w:right="455" w:hanging="360"/>
      </w:pPr>
      <w:proofErr w:type="spellStart"/>
      <w:r>
        <w:t>Madin</w:t>
      </w:r>
      <w:proofErr w:type="spellEnd"/>
      <w:r>
        <w:t>, I.P., W.J. Burns, G. R. Priest, J. C. Allan, and J. Roberts. "Using high-resolution lidar data to evaluate natural hazards and risk in Oregon." In AGU Fall Meeting Abstracts, Vol. 1, 2013, p. 04.</w:t>
      </w:r>
    </w:p>
    <w:p w:rsidR="00C14782" w:rsidRDefault="002F33BB">
      <w:pPr>
        <w:pStyle w:val="BodyText"/>
        <w:spacing w:before="198"/>
        <w:ind w:left="460" w:right="92" w:hanging="360"/>
      </w:pPr>
      <w:r>
        <w:t>Newmark, N. M., and W. J. Hall. Earthquake spectra and design, Engineering Monographs on Earthquake Criteria, Structural Design, and Strong Motion Records, Vol. 3: Berkeley, Calif., University of California, Earthquake Engineering Research Institute, 1982, 103 p.</w:t>
      </w:r>
    </w:p>
    <w:p w:rsidR="00C14782" w:rsidRDefault="002F33BB">
      <w:pPr>
        <w:pStyle w:val="BodyText"/>
        <w:spacing w:before="202"/>
        <w:ind w:left="460" w:hanging="360"/>
      </w:pPr>
      <w:r>
        <w:t>Oregon Seismic Safety Policy Advisory Commission (OSSPAC). The Oregon Resilience Plan: Reducing Risk and Improving Recovery for the Next Cascadia Earthquake and Tsunami.</w:t>
      </w:r>
      <w:hyperlink r:id="rId76">
        <w:r>
          <w:t xml:space="preserve"> http://www.oregon.gov/OMD/OEM/osspac/docs/Oregon_Resilience_Plan_draft_Executive_Summar</w:t>
        </w:r>
      </w:hyperlink>
      <w:r>
        <w:t xml:space="preserve"> </w:t>
      </w:r>
      <w:hyperlink r:id="rId77">
        <w:r>
          <w:t>y.pdf ,2013</w:t>
        </w:r>
      </w:hyperlink>
      <w:r>
        <w:t>.</w:t>
      </w:r>
    </w:p>
    <w:p w:rsidR="00C14782" w:rsidRDefault="002F33BB">
      <w:pPr>
        <w:pStyle w:val="BodyText"/>
        <w:spacing w:before="200" w:line="242" w:lineRule="auto"/>
        <w:ind w:left="460" w:right="471" w:hanging="360"/>
      </w:pPr>
      <w:r>
        <w:t xml:space="preserve">Sharifi-Mood, M., Olsen, M.J., </w:t>
      </w:r>
      <w:proofErr w:type="spellStart"/>
      <w:r>
        <w:t>Gillins</w:t>
      </w:r>
      <w:proofErr w:type="spellEnd"/>
      <w:r>
        <w:t>, D.T. and Mahalingam, R., "Performance-based, seismically- induced landslide hazard mapping of Western Oregon." Soil Dynamics and Earthquake Engineering, Vol. 103, 2017 pp. 38-54.</w:t>
      </w:r>
    </w:p>
    <w:p w:rsidR="00C14782" w:rsidRDefault="00C14782">
      <w:pPr>
        <w:spacing w:line="242" w:lineRule="auto"/>
        <w:sectPr w:rsidR="00C14782">
          <w:pgSz w:w="12240" w:h="15840"/>
          <w:pgMar w:top="1380" w:right="1340" w:bottom="1160" w:left="1340" w:header="0" w:footer="973" w:gutter="0"/>
          <w:cols w:space="720"/>
        </w:sectPr>
      </w:pPr>
    </w:p>
    <w:p w:rsidR="00C14782" w:rsidRDefault="002F33BB">
      <w:pPr>
        <w:pStyle w:val="BodyText"/>
        <w:spacing w:before="75"/>
        <w:ind w:left="460" w:hanging="360"/>
      </w:pPr>
      <w:r>
        <w:lastRenderedPageBreak/>
        <w:t xml:space="preserve">U.S. Geological Survey. Quaternary fault and fold database for the United States, accessed on July 2014, from USGS web site: </w:t>
      </w:r>
      <w:hyperlink r:id="rId78">
        <w:r>
          <w:t xml:space="preserve">http://earthquakes.usgs.gov/regional/qfaults/, </w:t>
        </w:r>
      </w:hyperlink>
      <w:r>
        <w:t>2006.</w:t>
      </w:r>
    </w:p>
    <w:p w:rsidR="00C14782" w:rsidRDefault="002F33BB">
      <w:pPr>
        <w:pStyle w:val="BodyText"/>
        <w:spacing w:before="198"/>
        <w:ind w:left="460" w:right="178" w:hanging="360"/>
      </w:pPr>
      <w:r>
        <w:t xml:space="preserve">Wald, David J., Vincent </w:t>
      </w:r>
      <w:proofErr w:type="spellStart"/>
      <w:r>
        <w:t>Quitoriano</w:t>
      </w:r>
      <w:proofErr w:type="spellEnd"/>
      <w:r>
        <w:t xml:space="preserve">, Thomas H. Heaton, and </w:t>
      </w:r>
      <w:proofErr w:type="spellStart"/>
      <w:r>
        <w:t>Hiroo</w:t>
      </w:r>
      <w:proofErr w:type="spellEnd"/>
      <w:r>
        <w:t xml:space="preserve"> Kanamori. "Relationships between peak ground acceleration, peak ground velocity, and modified Mercalli intensity in California." Earthquake spectra, Vol. 15, No. 3, 1999, pp. 557-564.</w:t>
      </w:r>
    </w:p>
    <w:p w:rsidR="00C14782" w:rsidRDefault="002F33BB">
      <w:pPr>
        <w:pStyle w:val="BodyText"/>
        <w:spacing w:before="201" w:line="252" w:lineRule="exact"/>
        <w:ind w:left="100"/>
      </w:pPr>
      <w:r>
        <w:t xml:space="preserve">Witter, R. C., Zhang, Y., Wang, K., Priest, G. R., Goldfinger, C., </w:t>
      </w:r>
      <w:proofErr w:type="spellStart"/>
      <w:r>
        <w:t>Stimely</w:t>
      </w:r>
      <w:proofErr w:type="spellEnd"/>
      <w:r>
        <w:t>, L. L., English, J. T., and Ferro,</w:t>
      </w:r>
    </w:p>
    <w:p w:rsidR="00C14782" w:rsidRDefault="002F33BB">
      <w:pPr>
        <w:pStyle w:val="BodyText"/>
        <w:ind w:left="460" w:right="244"/>
      </w:pPr>
      <w:r>
        <w:t>P. A., Simulating tsunami inundation at Bandon, Coos County, Oregon, using hypothetical Cascadia and Alaska earthquake scenarios: Oregon Department of Geology and Mineral Industries, Special Paper 43, 2011, 57 p, plates, GIS and data files, animations.</w:t>
      </w:r>
    </w:p>
    <w:p w:rsidR="00C14782" w:rsidRDefault="002F33BB">
      <w:pPr>
        <w:pStyle w:val="BodyText"/>
        <w:spacing w:before="201"/>
        <w:ind w:left="460" w:right="152" w:hanging="360"/>
        <w:jc w:val="both"/>
      </w:pPr>
      <w:r>
        <w:t xml:space="preserve">Priest, George R., Witter, Robert C., Zhang, Y. Joseph., Wang, </w:t>
      </w:r>
      <w:proofErr w:type="spellStart"/>
      <w:r>
        <w:t>Kelin</w:t>
      </w:r>
      <w:proofErr w:type="spellEnd"/>
      <w:r>
        <w:t xml:space="preserve">., Goldfinger, Chris., </w:t>
      </w:r>
      <w:proofErr w:type="spellStart"/>
      <w:r>
        <w:t>Stimely</w:t>
      </w:r>
      <w:proofErr w:type="spellEnd"/>
      <w:r>
        <w:t xml:space="preserve">, Laura L., English, John T., </w:t>
      </w:r>
      <w:proofErr w:type="spellStart"/>
      <w:r>
        <w:t>Pickner</w:t>
      </w:r>
      <w:proofErr w:type="spellEnd"/>
      <w:r>
        <w:t xml:space="preserve">, Sean G., Hughes, </w:t>
      </w:r>
      <w:proofErr w:type="spellStart"/>
      <w:r>
        <w:t>Kaleena</w:t>
      </w:r>
      <w:proofErr w:type="spellEnd"/>
      <w:r>
        <w:t xml:space="preserve"> L.B., Wille, </w:t>
      </w:r>
      <w:proofErr w:type="spellStart"/>
      <w:r>
        <w:t>Taylore</w:t>
      </w:r>
      <w:proofErr w:type="spellEnd"/>
      <w:r>
        <w:t xml:space="preserve"> E. and Smith, Rachel L. DOGAMI Open-File Report O-13-19 Tsunami Inundation Scenarios for Oregon. Oregon Department of Geology and Mineral Industries, Portland, OR (2013).</w:t>
      </w:r>
    </w:p>
    <w:p w:rsidR="00C14782" w:rsidRDefault="00C14782">
      <w:pPr>
        <w:pStyle w:val="BodyText"/>
        <w:rPr>
          <w:sz w:val="24"/>
        </w:rPr>
      </w:pPr>
    </w:p>
    <w:p w:rsidR="00C14782" w:rsidRDefault="00C14782">
      <w:pPr>
        <w:pStyle w:val="BodyText"/>
        <w:rPr>
          <w:sz w:val="24"/>
        </w:rPr>
      </w:pPr>
    </w:p>
    <w:p w:rsidR="00C14782" w:rsidRDefault="002F33BB">
      <w:pPr>
        <w:pStyle w:val="Heading1"/>
        <w:spacing w:before="174"/>
      </w:pPr>
      <w:bookmarkStart w:id="33" w:name="_bookmark32"/>
      <w:bookmarkEnd w:id="33"/>
      <w:r>
        <w:t>APPENDIX:</w:t>
      </w:r>
    </w:p>
    <w:p w:rsidR="00C14782" w:rsidRDefault="00C14782">
      <w:pPr>
        <w:pStyle w:val="BodyText"/>
        <w:spacing w:before="1"/>
        <w:rPr>
          <w:b/>
          <w:sz w:val="21"/>
        </w:rPr>
      </w:pPr>
    </w:p>
    <w:p w:rsidR="00C14782" w:rsidRDefault="002F33BB">
      <w:pPr>
        <w:pStyle w:val="Heading2"/>
        <w:ind w:left="100"/>
      </w:pPr>
      <w:bookmarkStart w:id="34" w:name="_bookmark33"/>
      <w:bookmarkEnd w:id="34"/>
      <w:r>
        <w:t>Access to the data:</w:t>
      </w:r>
    </w:p>
    <w:p w:rsidR="00C14782" w:rsidRDefault="002F33BB">
      <w:pPr>
        <w:pStyle w:val="BodyText"/>
        <w:spacing w:before="35" w:line="276" w:lineRule="auto"/>
        <w:ind w:left="100" w:right="106"/>
      </w:pPr>
      <w:r>
        <w:t>The data in O-HELP is available for research purposes through the College of Engineering at Oregon State</w:t>
      </w:r>
      <w:r>
        <w:rPr>
          <w:spacing w:val="-4"/>
        </w:rPr>
        <w:t xml:space="preserve"> </w:t>
      </w:r>
      <w:r>
        <w:t>University’s</w:t>
      </w:r>
      <w:r>
        <w:rPr>
          <w:spacing w:val="-4"/>
        </w:rPr>
        <w:t xml:space="preserve"> </w:t>
      </w:r>
      <w:r>
        <w:t>ArcGIS web</w:t>
      </w:r>
      <w:r>
        <w:rPr>
          <w:spacing w:val="-1"/>
        </w:rPr>
        <w:t xml:space="preserve"> </w:t>
      </w:r>
      <w:r>
        <w:t>server.</w:t>
      </w:r>
      <w:r>
        <w:rPr>
          <w:spacing w:val="-1"/>
        </w:rPr>
        <w:t xml:space="preserve"> </w:t>
      </w:r>
      <w:r>
        <w:t>To</w:t>
      </w:r>
      <w:r>
        <w:rPr>
          <w:spacing w:val="-1"/>
        </w:rPr>
        <w:t xml:space="preserve"> </w:t>
      </w:r>
      <w:r>
        <w:t>access</w:t>
      </w:r>
      <w:r>
        <w:rPr>
          <w:spacing w:val="-4"/>
        </w:rPr>
        <w:t xml:space="preserve"> </w:t>
      </w:r>
      <w:r>
        <w:t>the</w:t>
      </w:r>
      <w:r>
        <w:rPr>
          <w:spacing w:val="-4"/>
        </w:rPr>
        <w:t xml:space="preserve"> </w:t>
      </w:r>
      <w:r>
        <w:t>mapping</w:t>
      </w:r>
      <w:r>
        <w:rPr>
          <w:spacing w:val="-5"/>
        </w:rPr>
        <w:t xml:space="preserve"> </w:t>
      </w:r>
      <w:r>
        <w:t>data</w:t>
      </w:r>
      <w:r>
        <w:rPr>
          <w:spacing w:val="-3"/>
        </w:rPr>
        <w:t xml:space="preserve"> </w:t>
      </w:r>
      <w:r>
        <w:t>in</w:t>
      </w:r>
      <w:r>
        <w:rPr>
          <w:spacing w:val="-1"/>
        </w:rPr>
        <w:t xml:space="preserve"> </w:t>
      </w:r>
      <w:r>
        <w:t>ESRI’s</w:t>
      </w:r>
      <w:r>
        <w:rPr>
          <w:spacing w:val="-4"/>
        </w:rPr>
        <w:t xml:space="preserve"> </w:t>
      </w:r>
      <w:r>
        <w:t>ArcGIS</w:t>
      </w:r>
      <w:r>
        <w:rPr>
          <w:spacing w:val="-4"/>
        </w:rPr>
        <w:t xml:space="preserve"> </w:t>
      </w:r>
      <w:r>
        <w:t>products,</w:t>
      </w:r>
      <w:r>
        <w:rPr>
          <w:spacing w:val="-2"/>
        </w:rPr>
        <w:t xml:space="preserve"> </w:t>
      </w:r>
      <w:r>
        <w:t>follow</w:t>
      </w:r>
      <w:r>
        <w:rPr>
          <w:spacing w:val="-6"/>
        </w:rPr>
        <w:t xml:space="preserve"> </w:t>
      </w:r>
      <w:r>
        <w:t>the steps below to setup the server and to connect to the</w:t>
      </w:r>
      <w:r>
        <w:rPr>
          <w:spacing w:val="6"/>
        </w:rPr>
        <w:t xml:space="preserve"> </w:t>
      </w:r>
      <w:r>
        <w:t>data:</w:t>
      </w:r>
    </w:p>
    <w:p w:rsidR="00C14782" w:rsidRDefault="002F33BB">
      <w:pPr>
        <w:pStyle w:val="ListParagraph"/>
        <w:numPr>
          <w:ilvl w:val="0"/>
          <w:numId w:val="1"/>
        </w:numPr>
        <w:tabs>
          <w:tab w:val="left" w:pos="821"/>
        </w:tabs>
        <w:spacing w:before="200"/>
        <w:ind w:hanging="361"/>
      </w:pPr>
      <w:r>
        <w:t>Go to “Arc</w:t>
      </w:r>
      <w:r>
        <w:rPr>
          <w:spacing w:val="4"/>
        </w:rPr>
        <w:t xml:space="preserve"> </w:t>
      </w:r>
      <w:r>
        <w:t>Catalog”.</w:t>
      </w:r>
    </w:p>
    <w:p w:rsidR="00C14782" w:rsidRDefault="002F33BB">
      <w:pPr>
        <w:pStyle w:val="ListParagraph"/>
        <w:numPr>
          <w:ilvl w:val="0"/>
          <w:numId w:val="1"/>
        </w:numPr>
        <w:tabs>
          <w:tab w:val="left" w:pos="821"/>
        </w:tabs>
        <w:spacing w:before="39"/>
        <w:ind w:hanging="361"/>
      </w:pPr>
      <w:r>
        <w:t>Double-click on “Add ArcGIS</w:t>
      </w:r>
      <w:r>
        <w:rPr>
          <w:spacing w:val="-5"/>
        </w:rPr>
        <w:t xml:space="preserve"> </w:t>
      </w:r>
      <w:r>
        <w:t>Server”.</w:t>
      </w:r>
    </w:p>
    <w:p w:rsidR="00C14782" w:rsidRDefault="002F33BB">
      <w:pPr>
        <w:pStyle w:val="ListParagraph"/>
        <w:numPr>
          <w:ilvl w:val="0"/>
          <w:numId w:val="1"/>
        </w:numPr>
        <w:tabs>
          <w:tab w:val="left" w:pos="821"/>
        </w:tabs>
        <w:spacing w:before="35"/>
        <w:ind w:hanging="361"/>
      </w:pPr>
      <w:r>
        <w:t>In the check box choose “Use GIS services” (Figure</w:t>
      </w:r>
      <w:r>
        <w:rPr>
          <w:spacing w:val="-6"/>
        </w:rPr>
        <w:t xml:space="preserve"> </w:t>
      </w:r>
      <w:r>
        <w:t>14).</w:t>
      </w:r>
    </w:p>
    <w:p w:rsidR="00C14782" w:rsidRDefault="00C14782">
      <w:pPr>
        <w:sectPr w:rsidR="00C14782">
          <w:pgSz w:w="12240" w:h="15840"/>
          <w:pgMar w:top="1360" w:right="1340" w:bottom="1160" w:left="1340" w:header="0" w:footer="973" w:gutter="0"/>
          <w:cols w:space="720"/>
        </w:sectPr>
      </w:pPr>
    </w:p>
    <w:p w:rsidR="00C14782" w:rsidRDefault="002F33BB">
      <w:pPr>
        <w:pStyle w:val="BodyText"/>
        <w:ind w:left="1585"/>
        <w:rPr>
          <w:sz w:val="20"/>
        </w:rPr>
      </w:pPr>
      <w:r>
        <w:rPr>
          <w:noProof/>
          <w:sz w:val="20"/>
        </w:rPr>
        <w:lastRenderedPageBreak/>
        <w:drawing>
          <wp:inline distT="0" distB="0" distL="0" distR="0">
            <wp:extent cx="4039890" cy="3549681"/>
            <wp:effectExtent l="0" t="0" r="0" b="0"/>
            <wp:docPr id="73"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7.jpeg"/>
                    <pic:cNvPicPr/>
                  </pic:nvPicPr>
                  <pic:blipFill>
                    <a:blip r:embed="rId79" cstate="print"/>
                    <a:stretch>
                      <a:fillRect/>
                    </a:stretch>
                  </pic:blipFill>
                  <pic:spPr>
                    <a:xfrm>
                      <a:off x="0" y="0"/>
                      <a:ext cx="4039890" cy="3549681"/>
                    </a:xfrm>
                    <a:prstGeom prst="rect">
                      <a:avLst/>
                    </a:prstGeom>
                  </pic:spPr>
                </pic:pic>
              </a:graphicData>
            </a:graphic>
          </wp:inline>
        </w:drawing>
      </w:r>
    </w:p>
    <w:p w:rsidR="00C14782" w:rsidRDefault="00C14782">
      <w:pPr>
        <w:pStyle w:val="BodyText"/>
        <w:spacing w:before="5"/>
        <w:rPr>
          <w:sz w:val="14"/>
        </w:rPr>
      </w:pPr>
    </w:p>
    <w:p w:rsidR="00C14782" w:rsidRDefault="002F33BB">
      <w:pPr>
        <w:pStyle w:val="Heading2"/>
        <w:spacing w:before="91"/>
        <w:ind w:right="499"/>
        <w:jc w:val="center"/>
      </w:pPr>
      <w:r>
        <w:t>Figure 14: setting up of server step 3</w:t>
      </w:r>
    </w:p>
    <w:p w:rsidR="00C14782" w:rsidRDefault="00C14782">
      <w:pPr>
        <w:pStyle w:val="BodyText"/>
        <w:rPr>
          <w:b/>
          <w:sz w:val="24"/>
        </w:rPr>
      </w:pPr>
    </w:p>
    <w:p w:rsidR="00C14782" w:rsidRDefault="002F33BB">
      <w:pPr>
        <w:pStyle w:val="ListParagraph"/>
        <w:numPr>
          <w:ilvl w:val="0"/>
          <w:numId w:val="1"/>
        </w:numPr>
        <w:tabs>
          <w:tab w:val="left" w:pos="821"/>
        </w:tabs>
        <w:spacing w:before="215" w:line="276" w:lineRule="auto"/>
        <w:ind w:right="3222"/>
      </w:pPr>
      <w:r>
        <w:t>Enter the following URL in the server URL box (</w:t>
      </w:r>
      <w:hyperlink w:anchor="_bookmark34" w:history="1">
        <w:r>
          <w:t xml:space="preserve">Figure </w:t>
        </w:r>
      </w:hyperlink>
      <w:r>
        <w:t xml:space="preserve">15): </w:t>
      </w:r>
      <w:r>
        <w:rPr>
          <w:spacing w:val="-1"/>
        </w:rPr>
        <w:t>(</w:t>
      </w:r>
      <w:r>
        <w:rPr>
          <w:color w:val="0000FF"/>
          <w:spacing w:val="-1"/>
          <w:u w:val="single" w:color="0000FF"/>
        </w:rPr>
        <w:t>https://arcweld.engineering.oregonstate.edu:6443/arcgis/rest/</w:t>
      </w:r>
      <w:r>
        <w:rPr>
          <w:spacing w:val="-1"/>
        </w:rPr>
        <w:t>)</w:t>
      </w:r>
    </w:p>
    <w:p w:rsidR="00C14782" w:rsidRDefault="00C14782">
      <w:pPr>
        <w:spacing w:line="276" w:lineRule="auto"/>
        <w:sectPr w:rsidR="00C14782">
          <w:pgSz w:w="12240" w:h="15840"/>
          <w:pgMar w:top="1440" w:right="1340" w:bottom="1160" w:left="1340" w:header="0" w:footer="973" w:gutter="0"/>
          <w:cols w:space="720"/>
        </w:sectPr>
      </w:pPr>
    </w:p>
    <w:p w:rsidR="00C14782" w:rsidRDefault="002F33BB">
      <w:pPr>
        <w:pStyle w:val="BodyText"/>
        <w:ind w:left="2132"/>
        <w:rPr>
          <w:sz w:val="20"/>
        </w:rPr>
      </w:pPr>
      <w:r>
        <w:rPr>
          <w:sz w:val="20"/>
        </w:rPr>
      </w:r>
      <w:r>
        <w:rPr>
          <w:sz w:val="20"/>
        </w:rPr>
        <w:pict>
          <v:group id="_x0000_s1026" style="width:302.25pt;height:247.45pt;mso-position-horizontal-relative:char;mso-position-vertical-relative:line" coordsize="6045,4949">
            <v:shape id="_x0000_s1028" type="#_x0000_t75" style="position:absolute;left:30;top:30;width:5985;height:4889">
              <v:imagedata r:id="rId80" o:title=""/>
            </v:shape>
            <v:rect id="_x0000_s1027" style="position:absolute;left:15;top:15;width:6015;height:4919" filled="f" strokeweight="1.5pt"/>
            <w10:anchorlock/>
          </v:group>
        </w:pict>
      </w:r>
    </w:p>
    <w:p w:rsidR="00C14782" w:rsidRDefault="00C14782">
      <w:pPr>
        <w:pStyle w:val="BodyText"/>
        <w:spacing w:before="8"/>
        <w:rPr>
          <w:sz w:val="8"/>
        </w:rPr>
      </w:pPr>
    </w:p>
    <w:p w:rsidR="00C14782" w:rsidRDefault="002F33BB">
      <w:pPr>
        <w:pStyle w:val="Heading2"/>
        <w:spacing w:before="91"/>
        <w:ind w:right="496"/>
        <w:jc w:val="center"/>
      </w:pPr>
      <w:bookmarkStart w:id="35" w:name="_bookmark34"/>
      <w:bookmarkEnd w:id="35"/>
      <w:r>
        <w:t>Figure 15: Setting up of server Step</w:t>
      </w:r>
      <w:r>
        <w:rPr>
          <w:spacing w:val="-17"/>
        </w:rPr>
        <w:t xml:space="preserve"> </w:t>
      </w:r>
      <w:r>
        <w:t>4</w:t>
      </w:r>
    </w:p>
    <w:p w:rsidR="00C14782" w:rsidRDefault="002F33BB">
      <w:pPr>
        <w:pStyle w:val="ListParagraph"/>
        <w:numPr>
          <w:ilvl w:val="0"/>
          <w:numId w:val="1"/>
        </w:numPr>
        <w:tabs>
          <w:tab w:val="left" w:pos="821"/>
        </w:tabs>
        <w:spacing w:before="203"/>
        <w:ind w:hanging="361"/>
      </w:pPr>
      <w:r>
        <w:t>No authentication credentials are necessary at this</w:t>
      </w:r>
      <w:r>
        <w:rPr>
          <w:spacing w:val="-30"/>
        </w:rPr>
        <w:t xml:space="preserve"> </w:t>
      </w:r>
      <w:r>
        <w:t>time.</w:t>
      </w:r>
    </w:p>
    <w:p w:rsidR="00C14782" w:rsidRDefault="002F33BB">
      <w:pPr>
        <w:pStyle w:val="ListParagraph"/>
        <w:numPr>
          <w:ilvl w:val="0"/>
          <w:numId w:val="1"/>
        </w:numPr>
        <w:tabs>
          <w:tab w:val="left" w:pos="821"/>
        </w:tabs>
        <w:spacing w:before="35" w:line="276" w:lineRule="auto"/>
        <w:ind w:right="209"/>
      </w:pPr>
      <w:r>
        <w:t>Once</w:t>
      </w:r>
      <w:r>
        <w:rPr>
          <w:spacing w:val="-4"/>
        </w:rPr>
        <w:t xml:space="preserve"> </w:t>
      </w:r>
      <w:r>
        <w:t>the</w:t>
      </w:r>
      <w:r>
        <w:rPr>
          <w:spacing w:val="-4"/>
        </w:rPr>
        <w:t xml:space="preserve"> </w:t>
      </w:r>
      <w:r>
        <w:t>server</w:t>
      </w:r>
      <w:r>
        <w:rPr>
          <w:spacing w:val="-3"/>
        </w:rPr>
        <w:t xml:space="preserve"> </w:t>
      </w:r>
      <w:r>
        <w:t>setup</w:t>
      </w:r>
      <w:r>
        <w:rPr>
          <w:spacing w:val="-1"/>
        </w:rPr>
        <w:t xml:space="preserve"> </w:t>
      </w:r>
      <w:r>
        <w:t>is completed,</w:t>
      </w:r>
      <w:r>
        <w:rPr>
          <w:spacing w:val="-1"/>
        </w:rPr>
        <w:t xml:space="preserve"> </w:t>
      </w:r>
      <w:r>
        <w:t>the</w:t>
      </w:r>
      <w:r>
        <w:rPr>
          <w:spacing w:val="-4"/>
        </w:rPr>
        <w:t xml:space="preserve"> </w:t>
      </w:r>
      <w:r>
        <w:t>data</w:t>
      </w:r>
      <w:r>
        <w:rPr>
          <w:spacing w:val="-3"/>
        </w:rPr>
        <w:t xml:space="preserve"> </w:t>
      </w:r>
      <w:r>
        <w:t>becomes</w:t>
      </w:r>
      <w:r>
        <w:rPr>
          <w:spacing w:val="-4"/>
        </w:rPr>
        <w:t xml:space="preserve"> </w:t>
      </w:r>
      <w:r>
        <w:t>visible</w:t>
      </w:r>
      <w:r>
        <w:rPr>
          <w:spacing w:val="-4"/>
        </w:rPr>
        <w:t xml:space="preserve"> </w:t>
      </w:r>
      <w:r>
        <w:t>on</w:t>
      </w:r>
      <w:r>
        <w:rPr>
          <w:spacing w:val="-4"/>
        </w:rPr>
        <w:t xml:space="preserve"> </w:t>
      </w:r>
      <w:r>
        <w:t>the</w:t>
      </w:r>
      <w:r>
        <w:rPr>
          <w:spacing w:val="-4"/>
        </w:rPr>
        <w:t xml:space="preserve"> </w:t>
      </w:r>
      <w:r>
        <w:t>catalog</w:t>
      </w:r>
      <w:r>
        <w:rPr>
          <w:spacing w:val="-4"/>
        </w:rPr>
        <w:t xml:space="preserve"> </w:t>
      </w:r>
      <w:r>
        <w:t>window.</w:t>
      </w:r>
      <w:r>
        <w:rPr>
          <w:spacing w:val="-2"/>
        </w:rPr>
        <w:t xml:space="preserve"> </w:t>
      </w:r>
      <w:r>
        <w:t>Data</w:t>
      </w:r>
      <w:r>
        <w:rPr>
          <w:spacing w:val="-3"/>
        </w:rPr>
        <w:t xml:space="preserve"> </w:t>
      </w:r>
      <w:r>
        <w:t>can</w:t>
      </w:r>
      <w:r>
        <w:rPr>
          <w:spacing w:val="-5"/>
        </w:rPr>
        <w:t xml:space="preserve"> </w:t>
      </w:r>
      <w:r>
        <w:t>be added to ArcMap from Arc Catalog by dragging and dropping the files to the table of</w:t>
      </w:r>
      <w:r>
        <w:rPr>
          <w:spacing w:val="-33"/>
        </w:rPr>
        <w:t xml:space="preserve"> </w:t>
      </w:r>
      <w:r>
        <w:t>contents.</w:t>
      </w:r>
    </w:p>
    <w:p w:rsidR="00C14782" w:rsidRDefault="00C14782">
      <w:pPr>
        <w:pStyle w:val="BodyText"/>
        <w:rPr>
          <w:sz w:val="24"/>
        </w:rPr>
      </w:pPr>
    </w:p>
    <w:p w:rsidR="00C14782" w:rsidRDefault="00C14782">
      <w:pPr>
        <w:pStyle w:val="BodyText"/>
        <w:rPr>
          <w:sz w:val="24"/>
        </w:rPr>
      </w:pPr>
    </w:p>
    <w:p w:rsidR="00C14782" w:rsidRDefault="002F33BB">
      <w:pPr>
        <w:pStyle w:val="Heading2"/>
        <w:spacing w:before="147"/>
        <w:ind w:left="100"/>
      </w:pPr>
      <w:bookmarkStart w:id="36" w:name="_bookmark35"/>
      <w:bookmarkEnd w:id="36"/>
      <w:r>
        <w:t>Troubleshooting and FAQs:</w:t>
      </w:r>
    </w:p>
    <w:p w:rsidR="00C14782" w:rsidRDefault="002F33BB">
      <w:pPr>
        <w:pStyle w:val="BodyText"/>
        <w:spacing w:before="31" w:line="276" w:lineRule="auto"/>
        <w:ind w:left="100" w:right="288"/>
      </w:pPr>
      <w:r>
        <w:t>Please make sure that once you have selected the pin tool on the location of interest, wait for the pop-up window to come up.</w:t>
      </w:r>
    </w:p>
    <w:p w:rsidR="00C14782" w:rsidRDefault="002F33BB">
      <w:pPr>
        <w:pStyle w:val="BodyText"/>
        <w:spacing w:before="202"/>
        <w:ind w:left="100"/>
      </w:pPr>
      <w:r>
        <w:t>Q: The Print Report Tool is not working. What should I do?</w:t>
      </w:r>
    </w:p>
    <w:p w:rsidR="00C14782" w:rsidRDefault="00C14782">
      <w:pPr>
        <w:pStyle w:val="BodyText"/>
        <w:spacing w:before="9"/>
        <w:rPr>
          <w:sz w:val="20"/>
        </w:rPr>
      </w:pPr>
    </w:p>
    <w:p w:rsidR="00C14782" w:rsidRDefault="002F33BB">
      <w:pPr>
        <w:pStyle w:val="BodyText"/>
        <w:spacing w:line="273" w:lineRule="auto"/>
        <w:ind w:left="100" w:right="165"/>
      </w:pPr>
      <w:r>
        <w:t>A: The preferred browser for O-HELP is GOOGLE CHROME. Try opening the website with the chrome browser and refresh the page. Also, let the page allow pop-ups.</w:t>
      </w:r>
    </w:p>
    <w:p w:rsidR="00C14782" w:rsidRDefault="002F33BB">
      <w:pPr>
        <w:pStyle w:val="BodyText"/>
        <w:spacing w:before="204"/>
        <w:ind w:left="100"/>
      </w:pPr>
      <w:r>
        <w:t>Q: Feature layers like NEHRP and Site Geology are not rendering on the website. Why is that?</w:t>
      </w:r>
    </w:p>
    <w:p w:rsidR="00C14782" w:rsidRDefault="00C14782">
      <w:pPr>
        <w:pStyle w:val="BodyText"/>
        <w:spacing w:before="9"/>
        <w:rPr>
          <w:sz w:val="20"/>
        </w:rPr>
      </w:pPr>
    </w:p>
    <w:p w:rsidR="00C14782" w:rsidRDefault="002F33BB">
      <w:pPr>
        <w:pStyle w:val="BodyText"/>
        <w:spacing w:line="276" w:lineRule="auto"/>
        <w:ind w:left="100" w:right="312"/>
      </w:pPr>
      <w:r>
        <w:t xml:space="preserve">A: Usually, it takes more time to read feature class files from the server in comparison to </w:t>
      </w:r>
      <w:proofErr w:type="spellStart"/>
      <w:r>
        <w:t>rasters</w:t>
      </w:r>
      <w:proofErr w:type="spellEnd"/>
      <w:r>
        <w:t>. Please wait for the server to bring the data on the screen.</w:t>
      </w:r>
    </w:p>
    <w:p w:rsidR="00C14782" w:rsidRDefault="002F33BB">
      <w:pPr>
        <w:pStyle w:val="BodyText"/>
        <w:spacing w:before="198" w:line="276" w:lineRule="auto"/>
        <w:ind w:left="100"/>
      </w:pPr>
      <w:r>
        <w:t>Q: The home button on the left side of the screen is vanished and features are not working properly. What should I do?</w:t>
      </w:r>
    </w:p>
    <w:p w:rsidR="00C14782" w:rsidRDefault="002F33BB">
      <w:pPr>
        <w:pStyle w:val="BodyText"/>
        <w:spacing w:before="202" w:line="273" w:lineRule="auto"/>
        <w:ind w:left="100"/>
      </w:pPr>
      <w:r>
        <w:t>A: Go to the Settings for the CHROME browser and try clearing your “Cookies and Cached images and files”.</w:t>
      </w:r>
    </w:p>
    <w:sectPr w:rsidR="00C14782">
      <w:pgSz w:w="12240" w:h="15840"/>
      <w:pgMar w:top="1440" w:right="1340" w:bottom="1160" w:left="1340" w:header="0" w:footer="97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F33BB" w:rsidRDefault="002F33BB">
      <w:r>
        <w:separator/>
      </w:r>
    </w:p>
  </w:endnote>
  <w:endnote w:type="continuationSeparator" w:id="0">
    <w:p w:rsidR="002F33BB" w:rsidRDefault="002F33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33BB" w:rsidRDefault="002F33BB">
    <w:pPr>
      <w:pStyle w:val="BodyText"/>
      <w:spacing w:line="14" w:lineRule="auto"/>
      <w:rPr>
        <w:sz w:val="20"/>
      </w:rPr>
    </w:pPr>
    <w:r>
      <w:pict>
        <v:line id="_x0000_s2050" style="position:absolute;z-index:-252666880;mso-position-horizontal-relative:page;mso-position-vertical-relative:page" from="70.6pt,729.6pt" to="541.6pt,729.6pt" strokecolor="#d9d9d9" strokeweight=".4pt">
          <w10:wrap anchorx="page" anchory="page"/>
        </v:line>
      </w:pict>
    </w:r>
    <w:r>
      <w:pict>
        <v:shapetype id="_x0000_t202" coordsize="21600,21600" o:spt="202" path="m,l,21600r21600,l21600,xe">
          <v:stroke joinstyle="miter"/>
          <v:path gradientshapeok="t" o:connecttype="rect"/>
        </v:shapetype>
        <v:shape id="_x0000_s2049" type="#_x0000_t202" style="position:absolute;margin-left:485.15pt;margin-top:730.15pt;width:52.85pt;height:14.2pt;z-index:-252665856;mso-position-horizontal-relative:page;mso-position-vertical-relative:page" filled="f" stroked="f">
          <v:textbox inset="0,0,0,0">
            <w:txbxContent>
              <w:p w:rsidR="002F33BB" w:rsidRDefault="002F33BB">
                <w:pPr>
                  <w:pStyle w:val="BodyText"/>
                  <w:spacing w:before="10"/>
                  <w:ind w:left="60"/>
                </w:pPr>
                <w:r>
                  <w:fldChar w:fldCharType="begin"/>
                </w:r>
                <w:r>
                  <w:instrText xml:space="preserve"> PAGE </w:instrText>
                </w:r>
                <w:r>
                  <w:fldChar w:fldCharType="separate"/>
                </w:r>
                <w:r>
                  <w:t>10</w:t>
                </w:r>
                <w:r>
                  <w:fldChar w:fldCharType="end"/>
                </w:r>
                <w:r>
                  <w:t xml:space="preserve"> | </w:t>
                </w:r>
                <w:r>
                  <w:rPr>
                    <w:color w:val="808080"/>
                  </w:rPr>
                  <w:t>P a g e</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F33BB" w:rsidRDefault="002F33BB">
      <w:r>
        <w:separator/>
      </w:r>
    </w:p>
  </w:footnote>
  <w:footnote w:type="continuationSeparator" w:id="0">
    <w:p w:rsidR="002F33BB" w:rsidRDefault="002F33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2B7340"/>
    <w:multiLevelType w:val="hybridMultilevel"/>
    <w:tmpl w:val="77F44324"/>
    <w:lvl w:ilvl="0" w:tplc="18BC6268">
      <w:numFmt w:val="bullet"/>
      <w:lvlText w:val=""/>
      <w:lvlJc w:val="left"/>
      <w:pPr>
        <w:ind w:left="820" w:hanging="360"/>
      </w:pPr>
      <w:rPr>
        <w:rFonts w:ascii="Symbol" w:eastAsia="Symbol" w:hAnsi="Symbol" w:cs="Symbol" w:hint="default"/>
        <w:b/>
        <w:bCs/>
        <w:i/>
        <w:w w:val="95"/>
        <w:sz w:val="23"/>
        <w:szCs w:val="23"/>
        <w:lang w:val="en-US" w:eastAsia="en-US" w:bidi="en-US"/>
      </w:rPr>
    </w:lvl>
    <w:lvl w:ilvl="1" w:tplc="CBFE573A">
      <w:numFmt w:val="bullet"/>
      <w:lvlText w:val="•"/>
      <w:lvlJc w:val="left"/>
      <w:pPr>
        <w:ind w:left="1694" w:hanging="360"/>
      </w:pPr>
      <w:rPr>
        <w:rFonts w:hint="default"/>
        <w:lang w:val="en-US" w:eastAsia="en-US" w:bidi="en-US"/>
      </w:rPr>
    </w:lvl>
    <w:lvl w:ilvl="2" w:tplc="C646E10A">
      <w:numFmt w:val="bullet"/>
      <w:lvlText w:val="•"/>
      <w:lvlJc w:val="left"/>
      <w:pPr>
        <w:ind w:left="2568" w:hanging="360"/>
      </w:pPr>
      <w:rPr>
        <w:rFonts w:hint="default"/>
        <w:lang w:val="en-US" w:eastAsia="en-US" w:bidi="en-US"/>
      </w:rPr>
    </w:lvl>
    <w:lvl w:ilvl="3" w:tplc="D71275EC">
      <w:numFmt w:val="bullet"/>
      <w:lvlText w:val="•"/>
      <w:lvlJc w:val="left"/>
      <w:pPr>
        <w:ind w:left="3442" w:hanging="360"/>
      </w:pPr>
      <w:rPr>
        <w:rFonts w:hint="default"/>
        <w:lang w:val="en-US" w:eastAsia="en-US" w:bidi="en-US"/>
      </w:rPr>
    </w:lvl>
    <w:lvl w:ilvl="4" w:tplc="84C60E76">
      <w:numFmt w:val="bullet"/>
      <w:lvlText w:val="•"/>
      <w:lvlJc w:val="left"/>
      <w:pPr>
        <w:ind w:left="4316" w:hanging="360"/>
      </w:pPr>
      <w:rPr>
        <w:rFonts w:hint="default"/>
        <w:lang w:val="en-US" w:eastAsia="en-US" w:bidi="en-US"/>
      </w:rPr>
    </w:lvl>
    <w:lvl w:ilvl="5" w:tplc="10A4DDA8">
      <w:numFmt w:val="bullet"/>
      <w:lvlText w:val="•"/>
      <w:lvlJc w:val="left"/>
      <w:pPr>
        <w:ind w:left="5190" w:hanging="360"/>
      </w:pPr>
      <w:rPr>
        <w:rFonts w:hint="default"/>
        <w:lang w:val="en-US" w:eastAsia="en-US" w:bidi="en-US"/>
      </w:rPr>
    </w:lvl>
    <w:lvl w:ilvl="6" w:tplc="F2E85842">
      <w:numFmt w:val="bullet"/>
      <w:lvlText w:val="•"/>
      <w:lvlJc w:val="left"/>
      <w:pPr>
        <w:ind w:left="6064" w:hanging="360"/>
      </w:pPr>
      <w:rPr>
        <w:rFonts w:hint="default"/>
        <w:lang w:val="en-US" w:eastAsia="en-US" w:bidi="en-US"/>
      </w:rPr>
    </w:lvl>
    <w:lvl w:ilvl="7" w:tplc="48ECDBD0">
      <w:numFmt w:val="bullet"/>
      <w:lvlText w:val="•"/>
      <w:lvlJc w:val="left"/>
      <w:pPr>
        <w:ind w:left="6938" w:hanging="360"/>
      </w:pPr>
      <w:rPr>
        <w:rFonts w:hint="default"/>
        <w:lang w:val="en-US" w:eastAsia="en-US" w:bidi="en-US"/>
      </w:rPr>
    </w:lvl>
    <w:lvl w:ilvl="8" w:tplc="36328608">
      <w:numFmt w:val="bullet"/>
      <w:lvlText w:val="•"/>
      <w:lvlJc w:val="left"/>
      <w:pPr>
        <w:ind w:left="7812" w:hanging="360"/>
      </w:pPr>
      <w:rPr>
        <w:rFonts w:hint="default"/>
        <w:lang w:val="en-US" w:eastAsia="en-US" w:bidi="en-US"/>
      </w:rPr>
    </w:lvl>
  </w:abstractNum>
  <w:abstractNum w:abstractNumId="1" w15:restartNumberingAfterBreak="0">
    <w:nsid w:val="14510CFE"/>
    <w:multiLevelType w:val="hybridMultilevel"/>
    <w:tmpl w:val="5ED44216"/>
    <w:lvl w:ilvl="0" w:tplc="AA983B54">
      <w:numFmt w:val="bullet"/>
      <w:lvlText w:val=""/>
      <w:lvlJc w:val="left"/>
      <w:pPr>
        <w:ind w:left="820" w:hanging="360"/>
      </w:pPr>
      <w:rPr>
        <w:rFonts w:ascii="Symbol" w:eastAsia="Symbol" w:hAnsi="Symbol" w:cs="Symbol" w:hint="default"/>
        <w:w w:val="100"/>
        <w:sz w:val="22"/>
        <w:szCs w:val="22"/>
        <w:lang w:val="en-US" w:eastAsia="en-US" w:bidi="en-US"/>
      </w:rPr>
    </w:lvl>
    <w:lvl w:ilvl="1" w:tplc="8E028EA4">
      <w:numFmt w:val="bullet"/>
      <w:lvlText w:val="•"/>
      <w:lvlJc w:val="left"/>
      <w:pPr>
        <w:ind w:left="1694" w:hanging="360"/>
      </w:pPr>
      <w:rPr>
        <w:rFonts w:hint="default"/>
        <w:lang w:val="en-US" w:eastAsia="en-US" w:bidi="en-US"/>
      </w:rPr>
    </w:lvl>
    <w:lvl w:ilvl="2" w:tplc="9884AEDE">
      <w:numFmt w:val="bullet"/>
      <w:lvlText w:val="•"/>
      <w:lvlJc w:val="left"/>
      <w:pPr>
        <w:ind w:left="2568" w:hanging="360"/>
      </w:pPr>
      <w:rPr>
        <w:rFonts w:hint="default"/>
        <w:lang w:val="en-US" w:eastAsia="en-US" w:bidi="en-US"/>
      </w:rPr>
    </w:lvl>
    <w:lvl w:ilvl="3" w:tplc="094AD19E">
      <w:numFmt w:val="bullet"/>
      <w:lvlText w:val="•"/>
      <w:lvlJc w:val="left"/>
      <w:pPr>
        <w:ind w:left="3442" w:hanging="360"/>
      </w:pPr>
      <w:rPr>
        <w:rFonts w:hint="default"/>
        <w:lang w:val="en-US" w:eastAsia="en-US" w:bidi="en-US"/>
      </w:rPr>
    </w:lvl>
    <w:lvl w:ilvl="4" w:tplc="2500B8C0">
      <w:numFmt w:val="bullet"/>
      <w:lvlText w:val="•"/>
      <w:lvlJc w:val="left"/>
      <w:pPr>
        <w:ind w:left="4316" w:hanging="360"/>
      </w:pPr>
      <w:rPr>
        <w:rFonts w:hint="default"/>
        <w:lang w:val="en-US" w:eastAsia="en-US" w:bidi="en-US"/>
      </w:rPr>
    </w:lvl>
    <w:lvl w:ilvl="5" w:tplc="31DC45CA">
      <w:numFmt w:val="bullet"/>
      <w:lvlText w:val="•"/>
      <w:lvlJc w:val="left"/>
      <w:pPr>
        <w:ind w:left="5190" w:hanging="360"/>
      </w:pPr>
      <w:rPr>
        <w:rFonts w:hint="default"/>
        <w:lang w:val="en-US" w:eastAsia="en-US" w:bidi="en-US"/>
      </w:rPr>
    </w:lvl>
    <w:lvl w:ilvl="6" w:tplc="E508EE10">
      <w:numFmt w:val="bullet"/>
      <w:lvlText w:val="•"/>
      <w:lvlJc w:val="left"/>
      <w:pPr>
        <w:ind w:left="6064" w:hanging="360"/>
      </w:pPr>
      <w:rPr>
        <w:rFonts w:hint="default"/>
        <w:lang w:val="en-US" w:eastAsia="en-US" w:bidi="en-US"/>
      </w:rPr>
    </w:lvl>
    <w:lvl w:ilvl="7" w:tplc="6B5E5A9A">
      <w:numFmt w:val="bullet"/>
      <w:lvlText w:val="•"/>
      <w:lvlJc w:val="left"/>
      <w:pPr>
        <w:ind w:left="6938" w:hanging="360"/>
      </w:pPr>
      <w:rPr>
        <w:rFonts w:hint="default"/>
        <w:lang w:val="en-US" w:eastAsia="en-US" w:bidi="en-US"/>
      </w:rPr>
    </w:lvl>
    <w:lvl w:ilvl="8" w:tplc="1ADA8618">
      <w:numFmt w:val="bullet"/>
      <w:lvlText w:val="•"/>
      <w:lvlJc w:val="left"/>
      <w:pPr>
        <w:ind w:left="7812" w:hanging="360"/>
      </w:pPr>
      <w:rPr>
        <w:rFonts w:hint="default"/>
        <w:lang w:val="en-US" w:eastAsia="en-US" w:bidi="en-US"/>
      </w:rPr>
    </w:lvl>
  </w:abstractNum>
  <w:abstractNum w:abstractNumId="2" w15:restartNumberingAfterBreak="0">
    <w:nsid w:val="1AB36BF5"/>
    <w:multiLevelType w:val="hybridMultilevel"/>
    <w:tmpl w:val="D50E2534"/>
    <w:lvl w:ilvl="0" w:tplc="87F67784">
      <w:start w:val="1"/>
      <w:numFmt w:val="decimal"/>
      <w:lvlText w:val="%1."/>
      <w:lvlJc w:val="left"/>
      <w:pPr>
        <w:ind w:left="544" w:hanging="224"/>
      </w:pPr>
      <w:rPr>
        <w:rFonts w:ascii="Times New Roman" w:eastAsia="Times New Roman" w:hAnsi="Times New Roman" w:cs="Times New Roman" w:hint="default"/>
        <w:spacing w:val="0"/>
        <w:w w:val="100"/>
        <w:sz w:val="22"/>
        <w:szCs w:val="22"/>
        <w:lang w:val="en-US" w:eastAsia="en-US" w:bidi="en-US"/>
      </w:rPr>
    </w:lvl>
    <w:lvl w:ilvl="1" w:tplc="7180CD88">
      <w:numFmt w:val="bullet"/>
      <w:lvlText w:val=""/>
      <w:lvlJc w:val="left"/>
      <w:pPr>
        <w:ind w:left="820" w:hanging="360"/>
      </w:pPr>
      <w:rPr>
        <w:rFonts w:ascii="Symbol" w:eastAsia="Symbol" w:hAnsi="Symbol" w:cs="Symbol" w:hint="default"/>
        <w:w w:val="100"/>
        <w:sz w:val="22"/>
        <w:szCs w:val="22"/>
        <w:lang w:val="en-US" w:eastAsia="en-US" w:bidi="en-US"/>
      </w:rPr>
    </w:lvl>
    <w:lvl w:ilvl="2" w:tplc="8B88415A">
      <w:numFmt w:val="bullet"/>
      <w:lvlText w:val="o"/>
      <w:lvlJc w:val="left"/>
      <w:pPr>
        <w:ind w:left="1541" w:hanging="360"/>
      </w:pPr>
      <w:rPr>
        <w:rFonts w:ascii="Courier New" w:eastAsia="Courier New" w:hAnsi="Courier New" w:cs="Courier New" w:hint="default"/>
        <w:spacing w:val="-6"/>
        <w:w w:val="99"/>
        <w:sz w:val="22"/>
        <w:szCs w:val="22"/>
        <w:lang w:val="en-US" w:eastAsia="en-US" w:bidi="en-US"/>
      </w:rPr>
    </w:lvl>
    <w:lvl w:ilvl="3" w:tplc="78221444">
      <w:numFmt w:val="bullet"/>
      <w:lvlText w:val="•"/>
      <w:lvlJc w:val="left"/>
      <w:pPr>
        <w:ind w:left="2542" w:hanging="360"/>
      </w:pPr>
      <w:rPr>
        <w:rFonts w:hint="default"/>
        <w:lang w:val="en-US" w:eastAsia="en-US" w:bidi="en-US"/>
      </w:rPr>
    </w:lvl>
    <w:lvl w:ilvl="4" w:tplc="B5CE2C88">
      <w:numFmt w:val="bullet"/>
      <w:lvlText w:val="•"/>
      <w:lvlJc w:val="left"/>
      <w:pPr>
        <w:ind w:left="3545" w:hanging="360"/>
      </w:pPr>
      <w:rPr>
        <w:rFonts w:hint="default"/>
        <w:lang w:val="en-US" w:eastAsia="en-US" w:bidi="en-US"/>
      </w:rPr>
    </w:lvl>
    <w:lvl w:ilvl="5" w:tplc="E7009834">
      <w:numFmt w:val="bullet"/>
      <w:lvlText w:val="•"/>
      <w:lvlJc w:val="left"/>
      <w:pPr>
        <w:ind w:left="4547" w:hanging="360"/>
      </w:pPr>
      <w:rPr>
        <w:rFonts w:hint="default"/>
        <w:lang w:val="en-US" w:eastAsia="en-US" w:bidi="en-US"/>
      </w:rPr>
    </w:lvl>
    <w:lvl w:ilvl="6" w:tplc="66C2B926">
      <w:numFmt w:val="bullet"/>
      <w:lvlText w:val="•"/>
      <w:lvlJc w:val="left"/>
      <w:pPr>
        <w:ind w:left="5550" w:hanging="360"/>
      </w:pPr>
      <w:rPr>
        <w:rFonts w:hint="default"/>
        <w:lang w:val="en-US" w:eastAsia="en-US" w:bidi="en-US"/>
      </w:rPr>
    </w:lvl>
    <w:lvl w:ilvl="7" w:tplc="911E9AD2">
      <w:numFmt w:val="bullet"/>
      <w:lvlText w:val="•"/>
      <w:lvlJc w:val="left"/>
      <w:pPr>
        <w:ind w:left="6552" w:hanging="360"/>
      </w:pPr>
      <w:rPr>
        <w:rFonts w:hint="default"/>
        <w:lang w:val="en-US" w:eastAsia="en-US" w:bidi="en-US"/>
      </w:rPr>
    </w:lvl>
    <w:lvl w:ilvl="8" w:tplc="E5C2DA7E">
      <w:numFmt w:val="bullet"/>
      <w:lvlText w:val="•"/>
      <w:lvlJc w:val="left"/>
      <w:pPr>
        <w:ind w:left="7555" w:hanging="360"/>
      </w:pPr>
      <w:rPr>
        <w:rFonts w:hint="default"/>
        <w:lang w:val="en-US" w:eastAsia="en-US" w:bidi="en-US"/>
      </w:rPr>
    </w:lvl>
  </w:abstractNum>
  <w:abstractNum w:abstractNumId="3" w15:restartNumberingAfterBreak="0">
    <w:nsid w:val="31DA29D7"/>
    <w:multiLevelType w:val="hybridMultilevel"/>
    <w:tmpl w:val="C1EAE066"/>
    <w:lvl w:ilvl="0" w:tplc="4C26D490">
      <w:numFmt w:val="bullet"/>
      <w:lvlText w:val=""/>
      <w:lvlJc w:val="left"/>
      <w:pPr>
        <w:ind w:left="820" w:hanging="360"/>
      </w:pPr>
      <w:rPr>
        <w:rFonts w:ascii="Symbol" w:eastAsia="Symbol" w:hAnsi="Symbol" w:cs="Symbol" w:hint="default"/>
        <w:b/>
        <w:bCs/>
        <w:i/>
        <w:w w:val="95"/>
        <w:sz w:val="23"/>
        <w:szCs w:val="23"/>
        <w:lang w:val="en-US" w:eastAsia="en-US" w:bidi="en-US"/>
      </w:rPr>
    </w:lvl>
    <w:lvl w:ilvl="1" w:tplc="597A117A">
      <w:numFmt w:val="bullet"/>
      <w:lvlText w:val="•"/>
      <w:lvlJc w:val="left"/>
      <w:pPr>
        <w:ind w:left="1694" w:hanging="360"/>
      </w:pPr>
      <w:rPr>
        <w:rFonts w:hint="default"/>
        <w:lang w:val="en-US" w:eastAsia="en-US" w:bidi="en-US"/>
      </w:rPr>
    </w:lvl>
    <w:lvl w:ilvl="2" w:tplc="DB62D0FE">
      <w:numFmt w:val="bullet"/>
      <w:lvlText w:val="•"/>
      <w:lvlJc w:val="left"/>
      <w:pPr>
        <w:ind w:left="2568" w:hanging="360"/>
      </w:pPr>
      <w:rPr>
        <w:rFonts w:hint="default"/>
        <w:lang w:val="en-US" w:eastAsia="en-US" w:bidi="en-US"/>
      </w:rPr>
    </w:lvl>
    <w:lvl w:ilvl="3" w:tplc="4B7AFA7E">
      <w:numFmt w:val="bullet"/>
      <w:lvlText w:val="•"/>
      <w:lvlJc w:val="left"/>
      <w:pPr>
        <w:ind w:left="3442" w:hanging="360"/>
      </w:pPr>
      <w:rPr>
        <w:rFonts w:hint="default"/>
        <w:lang w:val="en-US" w:eastAsia="en-US" w:bidi="en-US"/>
      </w:rPr>
    </w:lvl>
    <w:lvl w:ilvl="4" w:tplc="7398ED50">
      <w:numFmt w:val="bullet"/>
      <w:lvlText w:val="•"/>
      <w:lvlJc w:val="left"/>
      <w:pPr>
        <w:ind w:left="4316" w:hanging="360"/>
      </w:pPr>
      <w:rPr>
        <w:rFonts w:hint="default"/>
        <w:lang w:val="en-US" w:eastAsia="en-US" w:bidi="en-US"/>
      </w:rPr>
    </w:lvl>
    <w:lvl w:ilvl="5" w:tplc="A0347B1E">
      <w:numFmt w:val="bullet"/>
      <w:lvlText w:val="•"/>
      <w:lvlJc w:val="left"/>
      <w:pPr>
        <w:ind w:left="5190" w:hanging="360"/>
      </w:pPr>
      <w:rPr>
        <w:rFonts w:hint="default"/>
        <w:lang w:val="en-US" w:eastAsia="en-US" w:bidi="en-US"/>
      </w:rPr>
    </w:lvl>
    <w:lvl w:ilvl="6" w:tplc="D19AAF20">
      <w:numFmt w:val="bullet"/>
      <w:lvlText w:val="•"/>
      <w:lvlJc w:val="left"/>
      <w:pPr>
        <w:ind w:left="6064" w:hanging="360"/>
      </w:pPr>
      <w:rPr>
        <w:rFonts w:hint="default"/>
        <w:lang w:val="en-US" w:eastAsia="en-US" w:bidi="en-US"/>
      </w:rPr>
    </w:lvl>
    <w:lvl w:ilvl="7" w:tplc="E5243FB2">
      <w:numFmt w:val="bullet"/>
      <w:lvlText w:val="•"/>
      <w:lvlJc w:val="left"/>
      <w:pPr>
        <w:ind w:left="6938" w:hanging="360"/>
      </w:pPr>
      <w:rPr>
        <w:rFonts w:hint="default"/>
        <w:lang w:val="en-US" w:eastAsia="en-US" w:bidi="en-US"/>
      </w:rPr>
    </w:lvl>
    <w:lvl w:ilvl="8" w:tplc="2350326E">
      <w:numFmt w:val="bullet"/>
      <w:lvlText w:val="•"/>
      <w:lvlJc w:val="left"/>
      <w:pPr>
        <w:ind w:left="7812" w:hanging="360"/>
      </w:pPr>
      <w:rPr>
        <w:rFonts w:hint="default"/>
        <w:lang w:val="en-US" w:eastAsia="en-US" w:bidi="en-US"/>
      </w:rPr>
    </w:lvl>
  </w:abstractNum>
  <w:abstractNum w:abstractNumId="4" w15:restartNumberingAfterBreak="0">
    <w:nsid w:val="3EEA4942"/>
    <w:multiLevelType w:val="hybridMultilevel"/>
    <w:tmpl w:val="5DF4B5A8"/>
    <w:lvl w:ilvl="0" w:tplc="9C4C8B16">
      <w:numFmt w:val="bullet"/>
      <w:lvlText w:val=""/>
      <w:lvlJc w:val="left"/>
      <w:pPr>
        <w:ind w:left="820" w:hanging="360"/>
      </w:pPr>
      <w:rPr>
        <w:rFonts w:ascii="Symbol" w:eastAsia="Symbol" w:hAnsi="Symbol" w:cs="Symbol" w:hint="default"/>
        <w:w w:val="100"/>
        <w:sz w:val="22"/>
        <w:szCs w:val="22"/>
        <w:lang w:val="en-US" w:eastAsia="en-US" w:bidi="en-US"/>
      </w:rPr>
    </w:lvl>
    <w:lvl w:ilvl="1" w:tplc="6BF8A84E">
      <w:numFmt w:val="bullet"/>
      <w:lvlText w:val=""/>
      <w:lvlJc w:val="left"/>
      <w:pPr>
        <w:ind w:left="1181" w:hanging="361"/>
      </w:pPr>
      <w:rPr>
        <w:rFonts w:ascii="Symbol" w:eastAsia="Symbol" w:hAnsi="Symbol" w:cs="Symbol" w:hint="default"/>
        <w:b/>
        <w:bCs/>
        <w:i/>
        <w:w w:val="95"/>
        <w:sz w:val="23"/>
        <w:szCs w:val="23"/>
        <w:lang w:val="en-US" w:eastAsia="en-US" w:bidi="en-US"/>
      </w:rPr>
    </w:lvl>
    <w:lvl w:ilvl="2" w:tplc="4EE635AA">
      <w:numFmt w:val="bullet"/>
      <w:lvlText w:val="•"/>
      <w:lvlJc w:val="left"/>
      <w:pPr>
        <w:ind w:left="2111" w:hanging="361"/>
      </w:pPr>
      <w:rPr>
        <w:rFonts w:hint="default"/>
        <w:lang w:val="en-US" w:eastAsia="en-US" w:bidi="en-US"/>
      </w:rPr>
    </w:lvl>
    <w:lvl w:ilvl="3" w:tplc="3D7ABDEA">
      <w:numFmt w:val="bullet"/>
      <w:lvlText w:val="•"/>
      <w:lvlJc w:val="left"/>
      <w:pPr>
        <w:ind w:left="3042" w:hanging="361"/>
      </w:pPr>
      <w:rPr>
        <w:rFonts w:hint="default"/>
        <w:lang w:val="en-US" w:eastAsia="en-US" w:bidi="en-US"/>
      </w:rPr>
    </w:lvl>
    <w:lvl w:ilvl="4" w:tplc="5B2E8E96">
      <w:numFmt w:val="bullet"/>
      <w:lvlText w:val="•"/>
      <w:lvlJc w:val="left"/>
      <w:pPr>
        <w:ind w:left="3973" w:hanging="361"/>
      </w:pPr>
      <w:rPr>
        <w:rFonts w:hint="default"/>
        <w:lang w:val="en-US" w:eastAsia="en-US" w:bidi="en-US"/>
      </w:rPr>
    </w:lvl>
    <w:lvl w:ilvl="5" w:tplc="B636DDE4">
      <w:numFmt w:val="bullet"/>
      <w:lvlText w:val="•"/>
      <w:lvlJc w:val="left"/>
      <w:pPr>
        <w:ind w:left="4904" w:hanging="361"/>
      </w:pPr>
      <w:rPr>
        <w:rFonts w:hint="default"/>
        <w:lang w:val="en-US" w:eastAsia="en-US" w:bidi="en-US"/>
      </w:rPr>
    </w:lvl>
    <w:lvl w:ilvl="6" w:tplc="135E49EA">
      <w:numFmt w:val="bullet"/>
      <w:lvlText w:val="•"/>
      <w:lvlJc w:val="left"/>
      <w:pPr>
        <w:ind w:left="5835" w:hanging="361"/>
      </w:pPr>
      <w:rPr>
        <w:rFonts w:hint="default"/>
        <w:lang w:val="en-US" w:eastAsia="en-US" w:bidi="en-US"/>
      </w:rPr>
    </w:lvl>
    <w:lvl w:ilvl="7" w:tplc="EE42EE9A">
      <w:numFmt w:val="bullet"/>
      <w:lvlText w:val="•"/>
      <w:lvlJc w:val="left"/>
      <w:pPr>
        <w:ind w:left="6766" w:hanging="361"/>
      </w:pPr>
      <w:rPr>
        <w:rFonts w:hint="default"/>
        <w:lang w:val="en-US" w:eastAsia="en-US" w:bidi="en-US"/>
      </w:rPr>
    </w:lvl>
    <w:lvl w:ilvl="8" w:tplc="22B27C2E">
      <w:numFmt w:val="bullet"/>
      <w:lvlText w:val="•"/>
      <w:lvlJc w:val="left"/>
      <w:pPr>
        <w:ind w:left="7697" w:hanging="361"/>
      </w:pPr>
      <w:rPr>
        <w:rFonts w:hint="default"/>
        <w:lang w:val="en-US" w:eastAsia="en-US" w:bidi="en-US"/>
      </w:rPr>
    </w:lvl>
  </w:abstractNum>
  <w:abstractNum w:abstractNumId="5" w15:restartNumberingAfterBreak="0">
    <w:nsid w:val="44B927DA"/>
    <w:multiLevelType w:val="hybridMultilevel"/>
    <w:tmpl w:val="2D1837E4"/>
    <w:lvl w:ilvl="0" w:tplc="A67ED432">
      <w:numFmt w:val="bullet"/>
      <w:lvlText w:val=""/>
      <w:lvlJc w:val="left"/>
      <w:pPr>
        <w:ind w:left="820" w:hanging="360"/>
      </w:pPr>
      <w:rPr>
        <w:rFonts w:ascii="Symbol" w:eastAsia="Symbol" w:hAnsi="Symbol" w:cs="Symbol" w:hint="default"/>
        <w:w w:val="100"/>
        <w:sz w:val="22"/>
        <w:szCs w:val="22"/>
        <w:lang w:val="en-US" w:eastAsia="en-US" w:bidi="en-US"/>
      </w:rPr>
    </w:lvl>
    <w:lvl w:ilvl="1" w:tplc="16C4ACC8">
      <w:numFmt w:val="bullet"/>
      <w:lvlText w:val="•"/>
      <w:lvlJc w:val="left"/>
      <w:pPr>
        <w:ind w:left="1694" w:hanging="360"/>
      </w:pPr>
      <w:rPr>
        <w:rFonts w:hint="default"/>
        <w:lang w:val="en-US" w:eastAsia="en-US" w:bidi="en-US"/>
      </w:rPr>
    </w:lvl>
    <w:lvl w:ilvl="2" w:tplc="0302C2A0">
      <w:numFmt w:val="bullet"/>
      <w:lvlText w:val="•"/>
      <w:lvlJc w:val="left"/>
      <w:pPr>
        <w:ind w:left="2568" w:hanging="360"/>
      </w:pPr>
      <w:rPr>
        <w:rFonts w:hint="default"/>
        <w:lang w:val="en-US" w:eastAsia="en-US" w:bidi="en-US"/>
      </w:rPr>
    </w:lvl>
    <w:lvl w:ilvl="3" w:tplc="11F2BABC">
      <w:numFmt w:val="bullet"/>
      <w:lvlText w:val="•"/>
      <w:lvlJc w:val="left"/>
      <w:pPr>
        <w:ind w:left="3442" w:hanging="360"/>
      </w:pPr>
      <w:rPr>
        <w:rFonts w:hint="default"/>
        <w:lang w:val="en-US" w:eastAsia="en-US" w:bidi="en-US"/>
      </w:rPr>
    </w:lvl>
    <w:lvl w:ilvl="4" w:tplc="4CA2630A">
      <w:numFmt w:val="bullet"/>
      <w:lvlText w:val="•"/>
      <w:lvlJc w:val="left"/>
      <w:pPr>
        <w:ind w:left="4316" w:hanging="360"/>
      </w:pPr>
      <w:rPr>
        <w:rFonts w:hint="default"/>
        <w:lang w:val="en-US" w:eastAsia="en-US" w:bidi="en-US"/>
      </w:rPr>
    </w:lvl>
    <w:lvl w:ilvl="5" w:tplc="F4146AB0">
      <w:numFmt w:val="bullet"/>
      <w:lvlText w:val="•"/>
      <w:lvlJc w:val="left"/>
      <w:pPr>
        <w:ind w:left="5190" w:hanging="360"/>
      </w:pPr>
      <w:rPr>
        <w:rFonts w:hint="default"/>
        <w:lang w:val="en-US" w:eastAsia="en-US" w:bidi="en-US"/>
      </w:rPr>
    </w:lvl>
    <w:lvl w:ilvl="6" w:tplc="4C2C8CB8">
      <w:numFmt w:val="bullet"/>
      <w:lvlText w:val="•"/>
      <w:lvlJc w:val="left"/>
      <w:pPr>
        <w:ind w:left="6064" w:hanging="360"/>
      </w:pPr>
      <w:rPr>
        <w:rFonts w:hint="default"/>
        <w:lang w:val="en-US" w:eastAsia="en-US" w:bidi="en-US"/>
      </w:rPr>
    </w:lvl>
    <w:lvl w:ilvl="7" w:tplc="F2F4422C">
      <w:numFmt w:val="bullet"/>
      <w:lvlText w:val="•"/>
      <w:lvlJc w:val="left"/>
      <w:pPr>
        <w:ind w:left="6938" w:hanging="360"/>
      </w:pPr>
      <w:rPr>
        <w:rFonts w:hint="default"/>
        <w:lang w:val="en-US" w:eastAsia="en-US" w:bidi="en-US"/>
      </w:rPr>
    </w:lvl>
    <w:lvl w:ilvl="8" w:tplc="03C64534">
      <w:numFmt w:val="bullet"/>
      <w:lvlText w:val="•"/>
      <w:lvlJc w:val="left"/>
      <w:pPr>
        <w:ind w:left="7812" w:hanging="360"/>
      </w:pPr>
      <w:rPr>
        <w:rFonts w:hint="default"/>
        <w:lang w:val="en-US" w:eastAsia="en-US" w:bidi="en-US"/>
      </w:rPr>
    </w:lvl>
  </w:abstractNum>
  <w:abstractNum w:abstractNumId="6" w15:restartNumberingAfterBreak="0">
    <w:nsid w:val="55AD20D6"/>
    <w:multiLevelType w:val="hybridMultilevel"/>
    <w:tmpl w:val="DD0EE260"/>
    <w:lvl w:ilvl="0" w:tplc="25EC4616">
      <w:start w:val="1"/>
      <w:numFmt w:val="decimal"/>
      <w:lvlText w:val="%1."/>
      <w:lvlJc w:val="left"/>
      <w:pPr>
        <w:ind w:left="820" w:hanging="360"/>
      </w:pPr>
      <w:rPr>
        <w:rFonts w:ascii="Times New Roman" w:eastAsia="Times New Roman" w:hAnsi="Times New Roman" w:cs="Times New Roman" w:hint="default"/>
        <w:spacing w:val="-28"/>
        <w:w w:val="99"/>
        <w:sz w:val="22"/>
        <w:szCs w:val="22"/>
        <w:lang w:val="en-US" w:eastAsia="en-US" w:bidi="en-US"/>
      </w:rPr>
    </w:lvl>
    <w:lvl w:ilvl="1" w:tplc="1C4CF42A">
      <w:numFmt w:val="bullet"/>
      <w:lvlText w:val="•"/>
      <w:lvlJc w:val="left"/>
      <w:pPr>
        <w:ind w:left="1694" w:hanging="360"/>
      </w:pPr>
      <w:rPr>
        <w:rFonts w:hint="default"/>
        <w:lang w:val="en-US" w:eastAsia="en-US" w:bidi="en-US"/>
      </w:rPr>
    </w:lvl>
    <w:lvl w:ilvl="2" w:tplc="72F0FED0">
      <w:numFmt w:val="bullet"/>
      <w:lvlText w:val="•"/>
      <w:lvlJc w:val="left"/>
      <w:pPr>
        <w:ind w:left="2568" w:hanging="360"/>
      </w:pPr>
      <w:rPr>
        <w:rFonts w:hint="default"/>
        <w:lang w:val="en-US" w:eastAsia="en-US" w:bidi="en-US"/>
      </w:rPr>
    </w:lvl>
    <w:lvl w:ilvl="3" w:tplc="F654AB70">
      <w:numFmt w:val="bullet"/>
      <w:lvlText w:val="•"/>
      <w:lvlJc w:val="left"/>
      <w:pPr>
        <w:ind w:left="3442" w:hanging="360"/>
      </w:pPr>
      <w:rPr>
        <w:rFonts w:hint="default"/>
        <w:lang w:val="en-US" w:eastAsia="en-US" w:bidi="en-US"/>
      </w:rPr>
    </w:lvl>
    <w:lvl w:ilvl="4" w:tplc="81088E6A">
      <w:numFmt w:val="bullet"/>
      <w:lvlText w:val="•"/>
      <w:lvlJc w:val="left"/>
      <w:pPr>
        <w:ind w:left="4316" w:hanging="360"/>
      </w:pPr>
      <w:rPr>
        <w:rFonts w:hint="default"/>
        <w:lang w:val="en-US" w:eastAsia="en-US" w:bidi="en-US"/>
      </w:rPr>
    </w:lvl>
    <w:lvl w:ilvl="5" w:tplc="E1A8982E">
      <w:numFmt w:val="bullet"/>
      <w:lvlText w:val="•"/>
      <w:lvlJc w:val="left"/>
      <w:pPr>
        <w:ind w:left="5190" w:hanging="360"/>
      </w:pPr>
      <w:rPr>
        <w:rFonts w:hint="default"/>
        <w:lang w:val="en-US" w:eastAsia="en-US" w:bidi="en-US"/>
      </w:rPr>
    </w:lvl>
    <w:lvl w:ilvl="6" w:tplc="A0349BF4">
      <w:numFmt w:val="bullet"/>
      <w:lvlText w:val="•"/>
      <w:lvlJc w:val="left"/>
      <w:pPr>
        <w:ind w:left="6064" w:hanging="360"/>
      </w:pPr>
      <w:rPr>
        <w:rFonts w:hint="default"/>
        <w:lang w:val="en-US" w:eastAsia="en-US" w:bidi="en-US"/>
      </w:rPr>
    </w:lvl>
    <w:lvl w:ilvl="7" w:tplc="469EAD68">
      <w:numFmt w:val="bullet"/>
      <w:lvlText w:val="•"/>
      <w:lvlJc w:val="left"/>
      <w:pPr>
        <w:ind w:left="6938" w:hanging="360"/>
      </w:pPr>
      <w:rPr>
        <w:rFonts w:hint="default"/>
        <w:lang w:val="en-US" w:eastAsia="en-US" w:bidi="en-US"/>
      </w:rPr>
    </w:lvl>
    <w:lvl w:ilvl="8" w:tplc="EF309728">
      <w:numFmt w:val="bullet"/>
      <w:lvlText w:val="•"/>
      <w:lvlJc w:val="left"/>
      <w:pPr>
        <w:ind w:left="7812" w:hanging="360"/>
      </w:pPr>
      <w:rPr>
        <w:rFonts w:hint="default"/>
        <w:lang w:val="en-US" w:eastAsia="en-US" w:bidi="en-US"/>
      </w:rPr>
    </w:lvl>
  </w:abstractNum>
  <w:abstractNum w:abstractNumId="7" w15:restartNumberingAfterBreak="0">
    <w:nsid w:val="5C7F4551"/>
    <w:multiLevelType w:val="hybridMultilevel"/>
    <w:tmpl w:val="CB16A136"/>
    <w:lvl w:ilvl="0" w:tplc="FEBCF6D2">
      <w:start w:val="1"/>
      <w:numFmt w:val="decimal"/>
      <w:lvlText w:val="%1."/>
      <w:lvlJc w:val="left"/>
      <w:pPr>
        <w:ind w:left="324" w:hanging="224"/>
      </w:pPr>
      <w:rPr>
        <w:rFonts w:ascii="Times New Roman" w:eastAsia="Times New Roman" w:hAnsi="Times New Roman" w:cs="Times New Roman" w:hint="default"/>
        <w:b/>
        <w:bCs/>
        <w:spacing w:val="0"/>
        <w:w w:val="100"/>
        <w:sz w:val="22"/>
        <w:szCs w:val="22"/>
        <w:lang w:val="en-US" w:eastAsia="en-US" w:bidi="en-US"/>
      </w:rPr>
    </w:lvl>
    <w:lvl w:ilvl="1" w:tplc="6FE06DA6">
      <w:numFmt w:val="bullet"/>
      <w:lvlText w:val=""/>
      <w:lvlJc w:val="left"/>
      <w:pPr>
        <w:ind w:left="820" w:hanging="360"/>
      </w:pPr>
      <w:rPr>
        <w:rFonts w:ascii="Symbol" w:eastAsia="Symbol" w:hAnsi="Symbol" w:cs="Symbol" w:hint="default"/>
        <w:w w:val="100"/>
        <w:sz w:val="22"/>
        <w:szCs w:val="22"/>
        <w:lang w:val="en-US" w:eastAsia="en-US" w:bidi="en-US"/>
      </w:rPr>
    </w:lvl>
    <w:lvl w:ilvl="2" w:tplc="E2A0D194">
      <w:numFmt w:val="bullet"/>
      <w:lvlText w:val="•"/>
      <w:lvlJc w:val="left"/>
      <w:pPr>
        <w:ind w:left="1791" w:hanging="360"/>
      </w:pPr>
      <w:rPr>
        <w:rFonts w:hint="default"/>
        <w:lang w:val="en-US" w:eastAsia="en-US" w:bidi="en-US"/>
      </w:rPr>
    </w:lvl>
    <w:lvl w:ilvl="3" w:tplc="DC4E4DC2">
      <w:numFmt w:val="bullet"/>
      <w:lvlText w:val="•"/>
      <w:lvlJc w:val="left"/>
      <w:pPr>
        <w:ind w:left="2762" w:hanging="360"/>
      </w:pPr>
      <w:rPr>
        <w:rFonts w:hint="default"/>
        <w:lang w:val="en-US" w:eastAsia="en-US" w:bidi="en-US"/>
      </w:rPr>
    </w:lvl>
    <w:lvl w:ilvl="4" w:tplc="7CFAE45A">
      <w:numFmt w:val="bullet"/>
      <w:lvlText w:val="•"/>
      <w:lvlJc w:val="left"/>
      <w:pPr>
        <w:ind w:left="3733" w:hanging="360"/>
      </w:pPr>
      <w:rPr>
        <w:rFonts w:hint="default"/>
        <w:lang w:val="en-US" w:eastAsia="en-US" w:bidi="en-US"/>
      </w:rPr>
    </w:lvl>
    <w:lvl w:ilvl="5" w:tplc="CB561C78">
      <w:numFmt w:val="bullet"/>
      <w:lvlText w:val="•"/>
      <w:lvlJc w:val="left"/>
      <w:pPr>
        <w:ind w:left="4704" w:hanging="360"/>
      </w:pPr>
      <w:rPr>
        <w:rFonts w:hint="default"/>
        <w:lang w:val="en-US" w:eastAsia="en-US" w:bidi="en-US"/>
      </w:rPr>
    </w:lvl>
    <w:lvl w:ilvl="6" w:tplc="9160944E">
      <w:numFmt w:val="bullet"/>
      <w:lvlText w:val="•"/>
      <w:lvlJc w:val="left"/>
      <w:pPr>
        <w:ind w:left="5675" w:hanging="360"/>
      </w:pPr>
      <w:rPr>
        <w:rFonts w:hint="default"/>
        <w:lang w:val="en-US" w:eastAsia="en-US" w:bidi="en-US"/>
      </w:rPr>
    </w:lvl>
    <w:lvl w:ilvl="7" w:tplc="0B9E105A">
      <w:numFmt w:val="bullet"/>
      <w:lvlText w:val="•"/>
      <w:lvlJc w:val="left"/>
      <w:pPr>
        <w:ind w:left="6646" w:hanging="360"/>
      </w:pPr>
      <w:rPr>
        <w:rFonts w:hint="default"/>
        <w:lang w:val="en-US" w:eastAsia="en-US" w:bidi="en-US"/>
      </w:rPr>
    </w:lvl>
    <w:lvl w:ilvl="8" w:tplc="AD08B89E">
      <w:numFmt w:val="bullet"/>
      <w:lvlText w:val="•"/>
      <w:lvlJc w:val="left"/>
      <w:pPr>
        <w:ind w:left="7617" w:hanging="360"/>
      </w:pPr>
      <w:rPr>
        <w:rFonts w:hint="default"/>
        <w:lang w:val="en-US" w:eastAsia="en-US" w:bidi="en-US"/>
      </w:rPr>
    </w:lvl>
  </w:abstractNum>
  <w:abstractNum w:abstractNumId="8" w15:restartNumberingAfterBreak="0">
    <w:nsid w:val="77C63629"/>
    <w:multiLevelType w:val="hybridMultilevel"/>
    <w:tmpl w:val="2736BA30"/>
    <w:lvl w:ilvl="0" w:tplc="512EA874">
      <w:numFmt w:val="bullet"/>
      <w:lvlText w:val=""/>
      <w:lvlJc w:val="left"/>
      <w:pPr>
        <w:ind w:left="820" w:hanging="360"/>
      </w:pPr>
      <w:rPr>
        <w:rFonts w:ascii="Symbol" w:eastAsia="Symbol" w:hAnsi="Symbol" w:cs="Symbol" w:hint="default"/>
        <w:b/>
        <w:bCs/>
        <w:i/>
        <w:w w:val="95"/>
        <w:sz w:val="23"/>
        <w:szCs w:val="23"/>
        <w:lang w:val="en-US" w:eastAsia="en-US" w:bidi="en-US"/>
      </w:rPr>
    </w:lvl>
    <w:lvl w:ilvl="1" w:tplc="0CA68C8C">
      <w:numFmt w:val="bullet"/>
      <w:lvlText w:val="•"/>
      <w:lvlJc w:val="left"/>
      <w:pPr>
        <w:ind w:left="1694" w:hanging="360"/>
      </w:pPr>
      <w:rPr>
        <w:rFonts w:hint="default"/>
        <w:lang w:val="en-US" w:eastAsia="en-US" w:bidi="en-US"/>
      </w:rPr>
    </w:lvl>
    <w:lvl w:ilvl="2" w:tplc="3C0CF4AE">
      <w:numFmt w:val="bullet"/>
      <w:lvlText w:val="•"/>
      <w:lvlJc w:val="left"/>
      <w:pPr>
        <w:ind w:left="2568" w:hanging="360"/>
      </w:pPr>
      <w:rPr>
        <w:rFonts w:hint="default"/>
        <w:lang w:val="en-US" w:eastAsia="en-US" w:bidi="en-US"/>
      </w:rPr>
    </w:lvl>
    <w:lvl w:ilvl="3" w:tplc="5AF6E826">
      <w:numFmt w:val="bullet"/>
      <w:lvlText w:val="•"/>
      <w:lvlJc w:val="left"/>
      <w:pPr>
        <w:ind w:left="3442" w:hanging="360"/>
      </w:pPr>
      <w:rPr>
        <w:rFonts w:hint="default"/>
        <w:lang w:val="en-US" w:eastAsia="en-US" w:bidi="en-US"/>
      </w:rPr>
    </w:lvl>
    <w:lvl w:ilvl="4" w:tplc="A21C8386">
      <w:numFmt w:val="bullet"/>
      <w:lvlText w:val="•"/>
      <w:lvlJc w:val="left"/>
      <w:pPr>
        <w:ind w:left="4316" w:hanging="360"/>
      </w:pPr>
      <w:rPr>
        <w:rFonts w:hint="default"/>
        <w:lang w:val="en-US" w:eastAsia="en-US" w:bidi="en-US"/>
      </w:rPr>
    </w:lvl>
    <w:lvl w:ilvl="5" w:tplc="15420358">
      <w:numFmt w:val="bullet"/>
      <w:lvlText w:val="•"/>
      <w:lvlJc w:val="left"/>
      <w:pPr>
        <w:ind w:left="5190" w:hanging="360"/>
      </w:pPr>
      <w:rPr>
        <w:rFonts w:hint="default"/>
        <w:lang w:val="en-US" w:eastAsia="en-US" w:bidi="en-US"/>
      </w:rPr>
    </w:lvl>
    <w:lvl w:ilvl="6" w:tplc="7F4CFE60">
      <w:numFmt w:val="bullet"/>
      <w:lvlText w:val="•"/>
      <w:lvlJc w:val="left"/>
      <w:pPr>
        <w:ind w:left="6064" w:hanging="360"/>
      </w:pPr>
      <w:rPr>
        <w:rFonts w:hint="default"/>
        <w:lang w:val="en-US" w:eastAsia="en-US" w:bidi="en-US"/>
      </w:rPr>
    </w:lvl>
    <w:lvl w:ilvl="7" w:tplc="59E03ECC">
      <w:numFmt w:val="bullet"/>
      <w:lvlText w:val="•"/>
      <w:lvlJc w:val="left"/>
      <w:pPr>
        <w:ind w:left="6938" w:hanging="360"/>
      </w:pPr>
      <w:rPr>
        <w:rFonts w:hint="default"/>
        <w:lang w:val="en-US" w:eastAsia="en-US" w:bidi="en-US"/>
      </w:rPr>
    </w:lvl>
    <w:lvl w:ilvl="8" w:tplc="97C26974">
      <w:numFmt w:val="bullet"/>
      <w:lvlText w:val="•"/>
      <w:lvlJc w:val="left"/>
      <w:pPr>
        <w:ind w:left="7812" w:hanging="360"/>
      </w:pPr>
      <w:rPr>
        <w:rFonts w:hint="default"/>
        <w:lang w:val="en-US" w:eastAsia="en-US" w:bidi="en-US"/>
      </w:rPr>
    </w:lvl>
  </w:abstractNum>
  <w:abstractNum w:abstractNumId="9" w15:restartNumberingAfterBreak="0">
    <w:nsid w:val="7E1C4EF9"/>
    <w:multiLevelType w:val="hybridMultilevel"/>
    <w:tmpl w:val="CE0889E0"/>
    <w:lvl w:ilvl="0" w:tplc="D32CE31E">
      <w:start w:val="1"/>
      <w:numFmt w:val="decimal"/>
      <w:lvlText w:val="%1."/>
      <w:lvlJc w:val="left"/>
      <w:pPr>
        <w:ind w:left="324" w:hanging="224"/>
      </w:pPr>
      <w:rPr>
        <w:rFonts w:ascii="Times New Roman" w:eastAsia="Times New Roman" w:hAnsi="Times New Roman" w:cs="Times New Roman" w:hint="default"/>
        <w:b/>
        <w:bCs/>
        <w:spacing w:val="0"/>
        <w:w w:val="100"/>
        <w:sz w:val="22"/>
        <w:szCs w:val="22"/>
        <w:lang w:val="en-US" w:eastAsia="en-US" w:bidi="en-US"/>
      </w:rPr>
    </w:lvl>
    <w:lvl w:ilvl="1" w:tplc="94061844">
      <w:numFmt w:val="bullet"/>
      <w:lvlText w:val=""/>
      <w:lvlJc w:val="left"/>
      <w:pPr>
        <w:ind w:left="820" w:hanging="360"/>
      </w:pPr>
      <w:rPr>
        <w:rFonts w:ascii="Symbol" w:eastAsia="Symbol" w:hAnsi="Symbol" w:cs="Symbol" w:hint="default"/>
        <w:i/>
        <w:w w:val="95"/>
        <w:sz w:val="23"/>
        <w:szCs w:val="23"/>
        <w:lang w:val="en-US" w:eastAsia="en-US" w:bidi="en-US"/>
      </w:rPr>
    </w:lvl>
    <w:lvl w:ilvl="2" w:tplc="302690B0">
      <w:numFmt w:val="bullet"/>
      <w:lvlText w:val="•"/>
      <w:lvlJc w:val="left"/>
      <w:pPr>
        <w:ind w:left="1791" w:hanging="360"/>
      </w:pPr>
      <w:rPr>
        <w:rFonts w:hint="default"/>
        <w:lang w:val="en-US" w:eastAsia="en-US" w:bidi="en-US"/>
      </w:rPr>
    </w:lvl>
    <w:lvl w:ilvl="3" w:tplc="4600D782">
      <w:numFmt w:val="bullet"/>
      <w:lvlText w:val="•"/>
      <w:lvlJc w:val="left"/>
      <w:pPr>
        <w:ind w:left="2762" w:hanging="360"/>
      </w:pPr>
      <w:rPr>
        <w:rFonts w:hint="default"/>
        <w:lang w:val="en-US" w:eastAsia="en-US" w:bidi="en-US"/>
      </w:rPr>
    </w:lvl>
    <w:lvl w:ilvl="4" w:tplc="3A1A5B22">
      <w:numFmt w:val="bullet"/>
      <w:lvlText w:val="•"/>
      <w:lvlJc w:val="left"/>
      <w:pPr>
        <w:ind w:left="3733" w:hanging="360"/>
      </w:pPr>
      <w:rPr>
        <w:rFonts w:hint="default"/>
        <w:lang w:val="en-US" w:eastAsia="en-US" w:bidi="en-US"/>
      </w:rPr>
    </w:lvl>
    <w:lvl w:ilvl="5" w:tplc="9732E60A">
      <w:numFmt w:val="bullet"/>
      <w:lvlText w:val="•"/>
      <w:lvlJc w:val="left"/>
      <w:pPr>
        <w:ind w:left="4704" w:hanging="360"/>
      </w:pPr>
      <w:rPr>
        <w:rFonts w:hint="default"/>
        <w:lang w:val="en-US" w:eastAsia="en-US" w:bidi="en-US"/>
      </w:rPr>
    </w:lvl>
    <w:lvl w:ilvl="6" w:tplc="B34E4B42">
      <w:numFmt w:val="bullet"/>
      <w:lvlText w:val="•"/>
      <w:lvlJc w:val="left"/>
      <w:pPr>
        <w:ind w:left="5675" w:hanging="360"/>
      </w:pPr>
      <w:rPr>
        <w:rFonts w:hint="default"/>
        <w:lang w:val="en-US" w:eastAsia="en-US" w:bidi="en-US"/>
      </w:rPr>
    </w:lvl>
    <w:lvl w:ilvl="7" w:tplc="A10CCD68">
      <w:numFmt w:val="bullet"/>
      <w:lvlText w:val="•"/>
      <w:lvlJc w:val="left"/>
      <w:pPr>
        <w:ind w:left="6646" w:hanging="360"/>
      </w:pPr>
      <w:rPr>
        <w:rFonts w:hint="default"/>
        <w:lang w:val="en-US" w:eastAsia="en-US" w:bidi="en-US"/>
      </w:rPr>
    </w:lvl>
    <w:lvl w:ilvl="8" w:tplc="9A760B52">
      <w:numFmt w:val="bullet"/>
      <w:lvlText w:val="•"/>
      <w:lvlJc w:val="left"/>
      <w:pPr>
        <w:ind w:left="7617" w:hanging="360"/>
      </w:pPr>
      <w:rPr>
        <w:rFonts w:hint="default"/>
        <w:lang w:val="en-US" w:eastAsia="en-US" w:bidi="en-US"/>
      </w:rPr>
    </w:lvl>
  </w:abstractNum>
  <w:num w:numId="1">
    <w:abstractNumId w:val="6"/>
  </w:num>
  <w:num w:numId="2">
    <w:abstractNumId w:val="5"/>
  </w:num>
  <w:num w:numId="3">
    <w:abstractNumId w:val="1"/>
  </w:num>
  <w:num w:numId="4">
    <w:abstractNumId w:val="8"/>
  </w:num>
  <w:num w:numId="5">
    <w:abstractNumId w:val="0"/>
  </w:num>
  <w:num w:numId="6">
    <w:abstractNumId w:val="4"/>
  </w:num>
  <w:num w:numId="7">
    <w:abstractNumId w:val="3"/>
  </w:num>
  <w:num w:numId="8">
    <w:abstractNumId w:val="9"/>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Setting w:name="useWord2013TrackBottomHyphenation" w:uri="http://schemas.microsoft.com/office/word" w:val="1"/>
  </w:compat>
  <w:rsids>
    <w:rsidRoot w:val="00C14782"/>
    <w:rsid w:val="002F33BB"/>
    <w:rsid w:val="003B7B18"/>
    <w:rsid w:val="00C14782"/>
    <w:rsid w:val="00C476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6DFF90D"/>
  <w15:docId w15:val="{AEFFB969-A0F0-4583-A18E-F05B9A5B1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uiPriority w:val="9"/>
    <w:qFormat/>
    <w:pPr>
      <w:ind w:left="100"/>
      <w:outlineLvl w:val="0"/>
    </w:pPr>
    <w:rPr>
      <w:b/>
      <w:bCs/>
      <w:sz w:val="24"/>
      <w:szCs w:val="24"/>
    </w:rPr>
  </w:style>
  <w:style w:type="paragraph" w:styleId="Heading2">
    <w:name w:val="heading 2"/>
    <w:basedOn w:val="Normal"/>
    <w:uiPriority w:val="9"/>
    <w:unhideWhenUsed/>
    <w:qFormat/>
    <w:pPr>
      <w:ind w:left="496"/>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9"/>
      <w:ind w:left="100"/>
    </w:pPr>
    <w:rPr>
      <w:b/>
      <w:bCs/>
    </w:rPr>
  </w:style>
  <w:style w:type="paragraph" w:styleId="TOC2">
    <w:name w:val="toc 2"/>
    <w:basedOn w:val="Normal"/>
    <w:uiPriority w:val="1"/>
    <w:qFormat/>
    <w:pPr>
      <w:spacing w:before="295"/>
      <w:ind w:left="544" w:hanging="225"/>
    </w:pPr>
  </w:style>
  <w:style w:type="paragraph" w:styleId="BodyText">
    <w:name w:val="Body Text"/>
    <w:basedOn w:val="Normal"/>
    <w:uiPriority w:val="1"/>
    <w:qFormat/>
  </w:style>
  <w:style w:type="paragraph" w:styleId="ListParagraph">
    <w:name w:val="List Paragraph"/>
    <w:basedOn w:val="Normal"/>
    <w:uiPriority w:val="1"/>
    <w:qFormat/>
    <w:pPr>
      <w:ind w:left="820" w:hanging="360"/>
    </w:pPr>
  </w:style>
  <w:style w:type="paragraph" w:customStyle="1" w:styleId="TableParagraph">
    <w:name w:val="Table Paragraph"/>
    <w:basedOn w:val="Normal"/>
    <w:uiPriority w:val="1"/>
    <w:qFormat/>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footer" Target="footer1.xml"/><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hyperlink" Target="http://www.oregongeology.org/sub/ogdc/" TargetMode="External"/><Relationship Id="rId68" Type="http://schemas.openxmlformats.org/officeDocument/2006/relationships/hyperlink" Target="http://earthquake.usgs.gov/learn/topics/mercalli.php" TargetMode="External"/><Relationship Id="rId76" Type="http://schemas.openxmlformats.org/officeDocument/2006/relationships/hyperlink" Target="http://www.oregon.gov/OMD/OEM/osspac/docs/Oregon_Resilience_Plan_draft_Executive_Summary.pdf%20%2C2013" TargetMode="External"/><Relationship Id="rId7" Type="http://schemas.openxmlformats.org/officeDocument/2006/relationships/image" Target="media/image1.png"/><Relationship Id="rId71" Type="http://schemas.openxmlformats.org/officeDocument/2006/relationships/image" Target="media/image56.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1.jpeg"/><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3.jpeg"/><Relationship Id="rId74" Type="http://schemas.openxmlformats.org/officeDocument/2006/relationships/hyperlink" Target="http://www.fema.gov/plan/prevent/hazus%3B" TargetMode="External"/><Relationship Id="rId79" Type="http://schemas.openxmlformats.org/officeDocument/2006/relationships/image" Target="media/image57.jpeg"/><Relationship Id="rId5" Type="http://schemas.openxmlformats.org/officeDocument/2006/relationships/footnotes" Target="footnotes.xml"/><Relationship Id="rId61" Type="http://schemas.openxmlformats.org/officeDocument/2006/relationships/hyperlink" Target="http://ned.usgs.gov/" TargetMode="External"/><Relationship Id="rId82"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hyperlink" Target="https://www.oregongeology.org/slido/data.htm" TargetMode="External"/><Relationship Id="rId73" Type="http://schemas.openxmlformats.org/officeDocument/2006/relationships/hyperlink" Target="http://www.fema.gov/media-" TargetMode="External"/><Relationship Id="rId78" Type="http://schemas.openxmlformats.org/officeDocument/2006/relationships/hyperlink" Target="http://earthquakes.usgs.gov/regional/qfaults/" TargetMode="Externa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www.oregongeology.org/hazvu/" TargetMode="External"/><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png"/><Relationship Id="rId64" Type="http://schemas.openxmlformats.org/officeDocument/2006/relationships/hyperlink" Target="http://earthquakes.usgs.gov/regional/qfaults/" TargetMode="External"/><Relationship Id="rId69" Type="http://schemas.openxmlformats.org/officeDocument/2006/relationships/image" Target="media/image54.jpeg"/><Relationship Id="rId77" Type="http://schemas.openxmlformats.org/officeDocument/2006/relationships/hyperlink" Target="http://www.oregon.gov/OMD/OEM/osspac/docs/Oregon_Resilience_Plan_draft_Executive_Summary.pdf%20%2C2013" TargetMode="External"/><Relationship Id="rId8" Type="http://schemas.openxmlformats.org/officeDocument/2006/relationships/image" Target="media/image2.jpeg"/><Relationship Id="rId51" Type="http://schemas.openxmlformats.org/officeDocument/2006/relationships/image" Target="media/image43.png"/><Relationship Id="rId72" Type="http://schemas.openxmlformats.org/officeDocument/2006/relationships/hyperlink" Target="http://www.oregongeology.org/sub/slido/data.htm" TargetMode="External"/><Relationship Id="rId80" Type="http://schemas.openxmlformats.org/officeDocument/2006/relationships/image" Target="media/image58.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hyperlink" Target="http://earthquake.usgs.gov/earthquakes/shakemap/global/shake/Casc9.0_expanded_se/" TargetMode="External"/><Relationship Id="rId20" Type="http://schemas.openxmlformats.org/officeDocument/2006/relationships/image" Target="media/image14.png"/><Relationship Id="rId41" Type="http://schemas.openxmlformats.org/officeDocument/2006/relationships/image" Target="media/image33.png"/><Relationship Id="rId54" Type="http://schemas.openxmlformats.org/officeDocument/2006/relationships/image" Target="media/image46.jpeg"/><Relationship Id="rId62" Type="http://schemas.openxmlformats.org/officeDocument/2006/relationships/hyperlink" Target="http://www.oregongeology.org/sub/projects/olc/" TargetMode="External"/><Relationship Id="rId70" Type="http://schemas.openxmlformats.org/officeDocument/2006/relationships/image" Target="media/image55.jpeg"/><Relationship Id="rId75" Type="http://schemas.openxmlformats.org/officeDocument/2006/relationships/hyperlink" Target="http://www.fema.gov/library/viewRecord.do?id=4713"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886</TotalTime>
  <Pages>25</Pages>
  <Words>6862</Words>
  <Characters>39119</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OSU College of Engineering</Company>
  <LinksUpToDate>false</LinksUpToDate>
  <CharactersWithSpaces>45890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sharifim</dc:creator>
  <cp:lastModifiedBy>Dutille, Victoria Leigh</cp:lastModifiedBy>
  <cp:revision>2</cp:revision>
  <dcterms:created xsi:type="dcterms:W3CDTF">2020-06-09T03:01:00Z</dcterms:created>
  <dcterms:modified xsi:type="dcterms:W3CDTF">2020-06-09T17:48:00Z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2020-06-04T00:00:00Z</vt:filetime>
  </property>
  <property fmtid="{D5CDD505-2E9C-101B-9397-08002B2CF9AE}" pid="3" name="Creator">
    <vt:lpwstr>Microsoft® Word 2016</vt:lpwstr>
  </property>
  <property fmtid="{D5CDD505-2E9C-101B-9397-08002B2CF9AE}" pid="4" name="LastSaved">
    <vt:filetime>2020-06-09T00:00:00Z</vt:filetime>
  </property>
</Properties>
</file>